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E55" w:rsidRPr="00741E8B" w:rsidRDefault="00C84E55" w:rsidP="000A250A">
      <w:pPr>
        <w:spacing w:after="240"/>
        <w:ind w:left="-58"/>
        <w:jc w:val="center"/>
        <w:rPr>
          <w:rFonts w:cs="David"/>
          <w:b/>
          <w:bCs/>
          <w:sz w:val="40"/>
          <w:szCs w:val="40"/>
          <w:rtl/>
          <w:lang w:eastAsia="en-US"/>
        </w:rPr>
      </w:pPr>
      <w:bookmarkStart w:id="0" w:name="_GoBack"/>
      <w:bookmarkEnd w:id="0"/>
      <w:r w:rsidRPr="00741E8B">
        <w:rPr>
          <w:rFonts w:cs="David"/>
          <w:b/>
          <w:bCs/>
          <w:sz w:val="40"/>
          <w:szCs w:val="40"/>
          <w:rtl/>
          <w:lang w:eastAsia="en-US"/>
        </w:rPr>
        <w:t xml:space="preserve">גילוי דעת </w:t>
      </w:r>
      <w:r w:rsidR="000A250A" w:rsidRPr="00741E8B">
        <w:rPr>
          <w:rFonts w:cs="David" w:hint="cs"/>
          <w:b/>
          <w:bCs/>
          <w:sz w:val="40"/>
          <w:szCs w:val="40"/>
          <w:rtl/>
          <w:lang w:eastAsia="en-US"/>
        </w:rPr>
        <w:t>19\1</w:t>
      </w:r>
      <w:r w:rsidRPr="00741E8B">
        <w:rPr>
          <w:rFonts w:cs="David"/>
          <w:b/>
          <w:bCs/>
          <w:sz w:val="40"/>
          <w:szCs w:val="40"/>
          <w:rtl/>
          <w:lang w:eastAsia="en-US"/>
        </w:rPr>
        <w:t xml:space="preserve"> </w:t>
      </w:r>
    </w:p>
    <w:p w:rsidR="00327891" w:rsidRDefault="00C84E55" w:rsidP="000A250A">
      <w:pPr>
        <w:spacing w:after="240"/>
        <w:ind w:left="-58"/>
        <w:jc w:val="center"/>
        <w:rPr>
          <w:rFonts w:cs="David" w:hint="cs"/>
          <w:b/>
          <w:bCs/>
          <w:sz w:val="28"/>
          <w:szCs w:val="28"/>
          <w:u w:val="single"/>
          <w:rtl/>
          <w:lang w:eastAsia="en-US"/>
        </w:rPr>
      </w:pPr>
      <w:r w:rsidRPr="000C6D61">
        <w:rPr>
          <w:rFonts w:cs="David"/>
          <w:b/>
          <w:bCs/>
          <w:sz w:val="28"/>
          <w:szCs w:val="28"/>
          <w:u w:val="single"/>
          <w:rtl/>
          <w:lang w:eastAsia="en-US"/>
        </w:rPr>
        <w:t xml:space="preserve">שיתופי פעולה בין </w:t>
      </w:r>
      <w:r w:rsidR="006B00E7">
        <w:rPr>
          <w:rFonts w:cs="David"/>
          <w:b/>
          <w:bCs/>
          <w:sz w:val="28"/>
          <w:szCs w:val="28"/>
          <w:u w:val="single"/>
          <w:rtl/>
          <w:lang w:eastAsia="en-US"/>
        </w:rPr>
        <w:t>משקיעים</w:t>
      </w:r>
      <w:r>
        <w:rPr>
          <w:rFonts w:cs="David"/>
          <w:b/>
          <w:bCs/>
          <w:sz w:val="28"/>
          <w:szCs w:val="28"/>
          <w:u w:val="single"/>
          <w:rtl/>
          <w:lang w:eastAsia="en-US"/>
        </w:rPr>
        <w:t xml:space="preserve"> מוסדיים</w:t>
      </w:r>
      <w:r w:rsidR="002B4AD7">
        <w:rPr>
          <w:rFonts w:cs="David"/>
          <w:b/>
          <w:bCs/>
          <w:sz w:val="28"/>
          <w:szCs w:val="28"/>
          <w:u w:val="single"/>
          <w:rtl/>
          <w:lang w:eastAsia="en-US"/>
        </w:rPr>
        <w:t xml:space="preserve"> </w:t>
      </w:r>
      <w:r w:rsidR="00D91FFB">
        <w:rPr>
          <w:rFonts w:cs="David" w:hint="cs"/>
          <w:b/>
          <w:bCs/>
          <w:sz w:val="28"/>
          <w:szCs w:val="28"/>
          <w:u w:val="single"/>
          <w:rtl/>
          <w:lang w:eastAsia="en-US"/>
        </w:rPr>
        <w:t>שלא בתחום התחרות</w:t>
      </w:r>
    </w:p>
    <w:p w:rsidR="00C84E55" w:rsidRDefault="00C84E55" w:rsidP="005301AA">
      <w:pPr>
        <w:numPr>
          <w:ilvl w:val="0"/>
          <w:numId w:val="1"/>
        </w:numPr>
        <w:spacing w:after="240" w:line="360" w:lineRule="auto"/>
        <w:ind w:left="-58"/>
        <w:jc w:val="both"/>
        <w:rPr>
          <w:rFonts w:cs="David"/>
          <w:b/>
          <w:bCs/>
          <w:lang w:eastAsia="en-US"/>
        </w:rPr>
      </w:pPr>
      <w:r>
        <w:rPr>
          <w:rFonts w:cs="David"/>
          <w:b/>
          <w:bCs/>
          <w:rtl/>
          <w:lang w:eastAsia="en-US"/>
        </w:rPr>
        <w:t>רקע</w:t>
      </w:r>
    </w:p>
    <w:p w:rsidR="00F2795A" w:rsidRDefault="006B00E7" w:rsidP="00A263DF">
      <w:pPr>
        <w:spacing w:after="240" w:line="360" w:lineRule="auto"/>
        <w:ind w:left="-58"/>
        <w:jc w:val="both"/>
        <w:rPr>
          <w:rFonts w:cs="David" w:hint="cs"/>
          <w:rtl/>
          <w:lang w:eastAsia="en-US"/>
        </w:rPr>
      </w:pPr>
      <w:r>
        <w:rPr>
          <w:rFonts w:cs="David"/>
          <w:rtl/>
          <w:lang w:eastAsia="en-US"/>
        </w:rPr>
        <w:t>גילוי דעת זה עוסק בשיתופי פעולה בין</w:t>
      </w:r>
      <w:r w:rsidR="00EC5066">
        <w:rPr>
          <w:rFonts w:cs="David" w:hint="cs"/>
          <w:rtl/>
          <w:lang w:eastAsia="en-US"/>
        </w:rPr>
        <w:t xml:space="preserve"> גופים </w:t>
      </w:r>
      <w:r>
        <w:rPr>
          <w:rFonts w:cs="David"/>
          <w:rtl/>
          <w:lang w:eastAsia="en-US"/>
        </w:rPr>
        <w:t>מוסדיים</w:t>
      </w:r>
      <w:r w:rsidR="00EC5066">
        <w:rPr>
          <w:rFonts w:cs="David" w:hint="cs"/>
          <w:rtl/>
          <w:lang w:eastAsia="en-US"/>
        </w:rPr>
        <w:t xml:space="preserve"> שלא בתחום התחרות</w:t>
      </w:r>
      <w:r w:rsidR="000767B5">
        <w:rPr>
          <w:rFonts w:cs="David" w:hint="cs"/>
          <w:rtl/>
          <w:lang w:eastAsia="en-US"/>
        </w:rPr>
        <w:t xml:space="preserve">, ובפרט </w:t>
      </w:r>
      <w:r w:rsidR="004D0AD7">
        <w:rPr>
          <w:rFonts w:cs="David" w:hint="cs"/>
          <w:rtl/>
          <w:lang w:eastAsia="en-US"/>
        </w:rPr>
        <w:t>בש</w:t>
      </w:r>
      <w:r w:rsidR="00706846">
        <w:rPr>
          <w:rFonts w:cs="David" w:hint="cs"/>
          <w:rtl/>
          <w:lang w:eastAsia="en-US"/>
        </w:rPr>
        <w:t>יתופי פעולה</w:t>
      </w:r>
      <w:r>
        <w:rPr>
          <w:rFonts w:cs="David"/>
          <w:rtl/>
          <w:lang w:eastAsia="en-US"/>
        </w:rPr>
        <w:t xml:space="preserve"> </w:t>
      </w:r>
      <w:r w:rsidR="000F5300">
        <w:rPr>
          <w:rFonts w:cs="David" w:hint="cs"/>
          <w:rtl/>
          <w:lang w:eastAsia="en-US"/>
        </w:rPr>
        <w:t xml:space="preserve">בין </w:t>
      </w:r>
      <w:r w:rsidR="006D6967">
        <w:rPr>
          <w:rFonts w:cs="David" w:hint="cs"/>
          <w:rtl/>
          <w:lang w:eastAsia="en-US"/>
        </w:rPr>
        <w:t xml:space="preserve">גופים מוסדיים </w:t>
      </w:r>
      <w:r w:rsidR="000F5300">
        <w:rPr>
          <w:rFonts w:cs="David" w:hint="cs"/>
          <w:rtl/>
          <w:lang w:eastAsia="en-US"/>
        </w:rPr>
        <w:t>המחזיקים במניותי</w:t>
      </w:r>
      <w:r w:rsidR="00A101F5">
        <w:rPr>
          <w:rFonts w:cs="David" w:hint="cs"/>
          <w:rtl/>
          <w:lang w:eastAsia="en-US"/>
        </w:rPr>
        <w:t>ו</w:t>
      </w:r>
      <w:r w:rsidR="000F5300">
        <w:rPr>
          <w:rFonts w:cs="David" w:hint="cs"/>
          <w:rtl/>
          <w:lang w:eastAsia="en-US"/>
        </w:rPr>
        <w:t xml:space="preserve"> של תאגיד מסוים, ב</w:t>
      </w:r>
      <w:r w:rsidR="00A101F5">
        <w:rPr>
          <w:rFonts w:cs="David" w:hint="cs"/>
          <w:rtl/>
          <w:lang w:eastAsia="en-US"/>
        </w:rPr>
        <w:t>כל הנוגע ל</w:t>
      </w:r>
      <w:r w:rsidR="000F5300">
        <w:rPr>
          <w:rFonts w:cs="David" w:hint="cs"/>
          <w:rtl/>
          <w:lang w:eastAsia="en-US"/>
        </w:rPr>
        <w:t>קבלת החלטות באסיפה הכללית של אותו תאגיד</w:t>
      </w:r>
      <w:r w:rsidR="004D0AD7">
        <w:rPr>
          <w:rFonts w:cs="David" w:hint="cs"/>
          <w:rtl/>
          <w:lang w:eastAsia="en-US"/>
        </w:rPr>
        <w:t>.</w:t>
      </w:r>
    </w:p>
    <w:p w:rsidR="000F5300" w:rsidRDefault="00F2795A" w:rsidP="00242728">
      <w:pPr>
        <w:spacing w:after="240" w:line="360" w:lineRule="auto"/>
        <w:ind w:left="-58"/>
        <w:jc w:val="both"/>
        <w:rPr>
          <w:rFonts w:cs="David" w:hint="cs"/>
          <w:rtl/>
          <w:lang w:eastAsia="en-US"/>
        </w:rPr>
      </w:pPr>
      <w:r>
        <w:rPr>
          <w:rFonts w:cs="David" w:hint="cs"/>
          <w:rtl/>
          <w:lang w:eastAsia="en-US"/>
        </w:rPr>
        <w:t xml:space="preserve">שיתופי פעולה בין גורמים מתחרים </w:t>
      </w:r>
      <w:r w:rsidR="00886579">
        <w:rPr>
          <w:rFonts w:cs="David" w:hint="cs"/>
          <w:rtl/>
          <w:lang w:eastAsia="en-US"/>
        </w:rPr>
        <w:t xml:space="preserve">עלולים לעלות לכדי הסדר כובל </w:t>
      </w:r>
      <w:r w:rsidR="000F5300">
        <w:rPr>
          <w:rFonts w:cs="David" w:hint="cs"/>
          <w:rtl/>
          <w:lang w:eastAsia="en-US"/>
        </w:rPr>
        <w:t xml:space="preserve">לפי סעיף 2 לחוק </w:t>
      </w:r>
      <w:r w:rsidR="00242728">
        <w:rPr>
          <w:rFonts w:cs="David" w:hint="cs"/>
          <w:rtl/>
          <w:lang w:eastAsia="en-US"/>
        </w:rPr>
        <w:t>התחרות הכלכלית</w:t>
      </w:r>
      <w:r w:rsidR="000F5300">
        <w:rPr>
          <w:rFonts w:cs="David" w:hint="cs"/>
          <w:rtl/>
          <w:lang w:eastAsia="en-US"/>
        </w:rPr>
        <w:t>, התשמ"ח-1988 (להלן</w:t>
      </w:r>
      <w:r w:rsidR="00E7666C">
        <w:rPr>
          <w:rFonts w:cs="David" w:hint="cs"/>
          <w:b/>
          <w:bCs/>
          <w:rtl/>
          <w:lang w:eastAsia="en-US"/>
        </w:rPr>
        <w:t xml:space="preserve"> </w:t>
      </w:r>
      <w:r w:rsidR="000F5300">
        <w:rPr>
          <w:rFonts w:cs="David" w:hint="cs"/>
          <w:b/>
          <w:bCs/>
          <w:rtl/>
          <w:lang w:eastAsia="en-US"/>
        </w:rPr>
        <w:t>החוק</w:t>
      </w:r>
      <w:r w:rsidR="000F5300">
        <w:rPr>
          <w:rFonts w:cs="David" w:hint="cs"/>
          <w:rtl/>
          <w:lang w:eastAsia="en-US"/>
        </w:rPr>
        <w:t xml:space="preserve">). מטרת </w:t>
      </w:r>
      <w:r w:rsidR="00886579">
        <w:rPr>
          <w:rFonts w:cs="David" w:hint="cs"/>
          <w:rtl/>
          <w:lang w:eastAsia="en-US"/>
        </w:rPr>
        <w:t xml:space="preserve">גילוי דעת </w:t>
      </w:r>
      <w:r w:rsidR="000F5300">
        <w:rPr>
          <w:rFonts w:cs="David" w:hint="cs"/>
          <w:rtl/>
          <w:lang w:eastAsia="en-US"/>
        </w:rPr>
        <w:t xml:space="preserve">זה היא </w:t>
      </w:r>
      <w:r w:rsidR="00886579">
        <w:rPr>
          <w:rFonts w:cs="David" w:hint="cs"/>
          <w:rtl/>
          <w:lang w:eastAsia="en-US"/>
        </w:rPr>
        <w:t xml:space="preserve">לתחום את שיתופי הפעולה </w:t>
      </w:r>
      <w:r w:rsidR="000F5300">
        <w:rPr>
          <w:rFonts w:cs="David" w:hint="cs"/>
          <w:rtl/>
          <w:lang w:eastAsia="en-US"/>
        </w:rPr>
        <w:t xml:space="preserve">מהסוגים שתוארו </w:t>
      </w:r>
      <w:r w:rsidR="00E952F0">
        <w:rPr>
          <w:rFonts w:cs="David" w:hint="cs"/>
          <w:rtl/>
          <w:lang w:eastAsia="en-US"/>
        </w:rPr>
        <w:t xml:space="preserve">באופן שיגדיל את הוודאות של גופים המעוניינים לבצע שיתופי פעולה </w:t>
      </w:r>
      <w:r w:rsidR="00EE3F4F">
        <w:rPr>
          <w:rFonts w:cs="David" w:hint="cs"/>
          <w:rtl/>
          <w:lang w:eastAsia="en-US"/>
        </w:rPr>
        <w:t>אלו</w:t>
      </w:r>
      <w:r w:rsidR="00E952F0">
        <w:rPr>
          <w:rFonts w:cs="David" w:hint="cs"/>
          <w:rtl/>
          <w:lang w:eastAsia="en-US"/>
        </w:rPr>
        <w:t xml:space="preserve"> מבלי לחשוש מהפרה של הוראות חוק </w:t>
      </w:r>
      <w:r w:rsidR="00242728">
        <w:rPr>
          <w:rFonts w:cs="David" w:hint="cs"/>
          <w:rtl/>
          <w:lang w:eastAsia="en-US"/>
        </w:rPr>
        <w:t>התחרות הכלכלית</w:t>
      </w:r>
      <w:r w:rsidR="004D0AD7">
        <w:rPr>
          <w:rFonts w:cs="David" w:hint="cs"/>
          <w:rtl/>
          <w:lang w:eastAsia="en-US"/>
        </w:rPr>
        <w:t>.</w:t>
      </w:r>
      <w:r w:rsidR="000F5300">
        <w:rPr>
          <w:rFonts w:cs="David" w:hint="cs"/>
          <w:rtl/>
          <w:lang w:eastAsia="en-US"/>
        </w:rPr>
        <w:t xml:space="preserve"> </w:t>
      </w:r>
      <w:r w:rsidR="00EE3F4F">
        <w:rPr>
          <w:rFonts w:cs="David" w:hint="cs"/>
          <w:rtl/>
          <w:lang w:eastAsia="en-US"/>
        </w:rPr>
        <w:t xml:space="preserve">אין באמור בגילוי דעת זה כדי לגרוע מתחולת החזקות החלוטות שבסעיף 2(ב) לחוק על הסדרים אופקיים. </w:t>
      </w:r>
      <w:r w:rsidR="000F5300">
        <w:rPr>
          <w:rFonts w:cs="David" w:hint="cs"/>
          <w:rtl/>
          <w:lang w:eastAsia="en-US"/>
        </w:rPr>
        <w:t>גופים</w:t>
      </w:r>
      <w:r w:rsidR="000F5300" w:rsidRPr="002A1843">
        <w:rPr>
          <w:rFonts w:cs="David"/>
          <w:rtl/>
          <w:lang w:eastAsia="en-US"/>
        </w:rPr>
        <w:t xml:space="preserve"> מוסדיים</w:t>
      </w:r>
      <w:r w:rsidR="000F5300">
        <w:rPr>
          <w:rFonts w:cs="David" w:hint="cs"/>
          <w:rtl/>
          <w:lang w:eastAsia="en-US"/>
        </w:rPr>
        <w:t>, לעניין גילוי דעת זה, הם גופים הפועלים להשקעת כספים שהועברו אליהם על ידי הציבור, כגון חברות ביטוח,</w:t>
      </w:r>
      <w:r w:rsidR="000F5300" w:rsidRPr="002A1843">
        <w:rPr>
          <w:rFonts w:cs="David"/>
          <w:rtl/>
          <w:lang w:eastAsia="en-US"/>
        </w:rPr>
        <w:t xml:space="preserve"> </w:t>
      </w:r>
      <w:r w:rsidR="000F5300">
        <w:rPr>
          <w:rFonts w:cs="David" w:hint="cs"/>
          <w:rtl/>
          <w:lang w:eastAsia="en-US"/>
        </w:rPr>
        <w:t xml:space="preserve">חברות המנהלות </w:t>
      </w:r>
      <w:r w:rsidR="000F5300" w:rsidRPr="002A1843">
        <w:rPr>
          <w:rFonts w:cs="David"/>
          <w:rtl/>
          <w:lang w:eastAsia="en-US"/>
        </w:rPr>
        <w:t>קופות גמל, קרנות פנסיה, קרנות נאמנות</w:t>
      </w:r>
      <w:r w:rsidR="000F5300">
        <w:rPr>
          <w:rFonts w:cs="David" w:hint="cs"/>
          <w:rtl/>
          <w:lang w:eastAsia="en-US"/>
        </w:rPr>
        <w:t xml:space="preserve"> וכו'</w:t>
      </w:r>
      <w:r w:rsidR="000F5300" w:rsidRPr="002A1843">
        <w:rPr>
          <w:rFonts w:cs="David"/>
          <w:rtl/>
          <w:lang w:eastAsia="en-US"/>
        </w:rPr>
        <w:t>.</w:t>
      </w:r>
      <w:r>
        <w:rPr>
          <w:rFonts w:cs="David" w:hint="cs"/>
          <w:rtl/>
          <w:lang w:eastAsia="en-US"/>
        </w:rPr>
        <w:t xml:space="preserve"> </w:t>
      </w:r>
    </w:p>
    <w:p w:rsidR="00D818CC" w:rsidRDefault="00B71E27" w:rsidP="006775BE">
      <w:pPr>
        <w:spacing w:after="240" w:line="360" w:lineRule="auto"/>
        <w:ind w:left="-58"/>
        <w:jc w:val="both"/>
        <w:rPr>
          <w:rFonts w:cs="David" w:hint="cs"/>
          <w:rtl/>
          <w:lang w:eastAsia="en-US"/>
        </w:rPr>
      </w:pPr>
      <w:r>
        <w:rPr>
          <w:rFonts w:cs="David" w:hint="cs"/>
          <w:rtl/>
          <w:lang w:eastAsia="en-US"/>
        </w:rPr>
        <w:t xml:space="preserve">ברוב החברות הציבוריות בישראל מרוכזת השליטה, ובצדה רוב מובטח באסיפה הכללית, בידי בעל מניות דומיננטי או </w:t>
      </w:r>
      <w:r w:rsidR="00706682">
        <w:rPr>
          <w:rFonts w:cs="David" w:hint="cs"/>
          <w:rtl/>
          <w:lang w:eastAsia="en-US"/>
        </w:rPr>
        <w:t xml:space="preserve">בידי </w:t>
      </w:r>
      <w:r>
        <w:rPr>
          <w:rFonts w:cs="David" w:hint="cs"/>
          <w:rtl/>
          <w:lang w:eastAsia="en-US"/>
        </w:rPr>
        <w:t xml:space="preserve">מספר בעלי מניות </w:t>
      </w:r>
      <w:r w:rsidR="00387F58">
        <w:rPr>
          <w:rFonts w:cs="David" w:hint="cs"/>
          <w:rtl/>
          <w:lang w:eastAsia="en-US"/>
        </w:rPr>
        <w:t xml:space="preserve">שצירוף אחזקותיהם </w:t>
      </w:r>
      <w:r w:rsidR="00706682">
        <w:rPr>
          <w:rFonts w:cs="David" w:hint="cs"/>
          <w:rtl/>
          <w:lang w:eastAsia="en-US"/>
        </w:rPr>
        <w:t>מקנ</w:t>
      </w:r>
      <w:r w:rsidR="00387F58">
        <w:rPr>
          <w:rFonts w:cs="David" w:hint="cs"/>
          <w:rtl/>
          <w:lang w:eastAsia="en-US"/>
        </w:rPr>
        <w:t>ה</w:t>
      </w:r>
      <w:r w:rsidR="00706682">
        <w:rPr>
          <w:rFonts w:cs="David" w:hint="cs"/>
          <w:rtl/>
          <w:lang w:eastAsia="en-US"/>
        </w:rPr>
        <w:t xml:space="preserve"> להם </w:t>
      </w:r>
      <w:r w:rsidR="00AB690B">
        <w:rPr>
          <w:rFonts w:cs="David" w:hint="cs"/>
          <w:rtl/>
          <w:lang w:eastAsia="en-US"/>
        </w:rPr>
        <w:t>יכולת לכוון את פעילות התאגיד</w:t>
      </w:r>
      <w:r w:rsidR="00706682">
        <w:rPr>
          <w:rFonts w:cs="David" w:hint="cs"/>
          <w:rtl/>
          <w:lang w:eastAsia="en-US"/>
        </w:rPr>
        <w:t xml:space="preserve">. </w:t>
      </w:r>
      <w:r w:rsidR="00D818CC">
        <w:rPr>
          <w:rFonts w:cs="David"/>
          <w:rtl/>
          <w:lang w:eastAsia="en-US"/>
        </w:rPr>
        <w:t>מול בעל</w:t>
      </w:r>
      <w:r w:rsidR="00D818CC">
        <w:rPr>
          <w:rFonts w:cs="David" w:hint="cs"/>
          <w:rtl/>
          <w:lang w:eastAsia="en-US"/>
        </w:rPr>
        <w:t>י</w:t>
      </w:r>
      <w:r w:rsidR="00D818CC">
        <w:rPr>
          <w:rFonts w:cs="David"/>
          <w:rtl/>
          <w:lang w:eastAsia="en-US"/>
        </w:rPr>
        <w:t xml:space="preserve"> השליטה ב</w:t>
      </w:r>
      <w:r w:rsidR="00D818CC">
        <w:rPr>
          <w:rFonts w:cs="David" w:hint="cs"/>
          <w:rtl/>
          <w:lang w:eastAsia="en-US"/>
        </w:rPr>
        <w:t>תאגיד</w:t>
      </w:r>
      <w:r w:rsidR="00D818CC">
        <w:rPr>
          <w:rFonts w:cs="David"/>
          <w:rtl/>
          <w:lang w:eastAsia="en-US"/>
        </w:rPr>
        <w:t xml:space="preserve"> ניצב</w:t>
      </w:r>
      <w:r w:rsidR="00D818CC">
        <w:rPr>
          <w:rFonts w:cs="David" w:hint="cs"/>
          <w:rtl/>
          <w:lang w:eastAsia="en-US"/>
        </w:rPr>
        <w:t>, על פי רוב,</w:t>
      </w:r>
      <w:r w:rsidR="00D818CC">
        <w:rPr>
          <w:rFonts w:cs="David"/>
          <w:rtl/>
          <w:lang w:eastAsia="en-US"/>
        </w:rPr>
        <w:t xml:space="preserve"> ציבור רחב</w:t>
      </w:r>
      <w:r w:rsidR="00D818CC">
        <w:rPr>
          <w:rFonts w:cs="David" w:hint="cs"/>
          <w:rtl/>
          <w:lang w:eastAsia="en-US"/>
        </w:rPr>
        <w:t xml:space="preserve"> ומבוזר</w:t>
      </w:r>
      <w:r w:rsidR="00D818CC">
        <w:rPr>
          <w:rFonts w:cs="David"/>
          <w:rtl/>
          <w:lang w:eastAsia="en-US"/>
        </w:rPr>
        <w:t xml:space="preserve">, </w:t>
      </w:r>
      <w:r w:rsidR="00D818CC">
        <w:rPr>
          <w:rFonts w:cs="David" w:hint="cs"/>
          <w:rtl/>
          <w:lang w:eastAsia="en-US"/>
        </w:rPr>
        <w:t>ה</w:t>
      </w:r>
      <w:r w:rsidR="00D818CC">
        <w:rPr>
          <w:rFonts w:cs="David"/>
          <w:rtl/>
          <w:lang w:eastAsia="en-US"/>
        </w:rPr>
        <w:t xml:space="preserve">מצוי בעמדת נחיתות מובנית בפיקוח ובבקרה על פעולות </w:t>
      </w:r>
      <w:r w:rsidR="00D818CC">
        <w:rPr>
          <w:rFonts w:cs="David" w:hint="cs"/>
          <w:rtl/>
          <w:lang w:eastAsia="en-US"/>
        </w:rPr>
        <w:t xml:space="preserve">החברה ותהליך קבלת ההחלטות בה. לפיכך, עולה במקרים רבים </w:t>
      </w:r>
      <w:r w:rsidR="00D818CC">
        <w:rPr>
          <w:rFonts w:cs="David"/>
          <w:rtl/>
          <w:lang w:eastAsia="en-US"/>
        </w:rPr>
        <w:t xml:space="preserve">חשש </w:t>
      </w:r>
      <w:r w:rsidR="00D818CC">
        <w:rPr>
          <w:rFonts w:cs="David" w:hint="cs"/>
          <w:rtl/>
          <w:lang w:eastAsia="en-US"/>
        </w:rPr>
        <w:t xml:space="preserve">כי </w:t>
      </w:r>
      <w:r w:rsidR="00D818CC">
        <w:rPr>
          <w:rFonts w:cs="David"/>
          <w:rtl/>
          <w:lang w:eastAsia="en-US"/>
        </w:rPr>
        <w:t xml:space="preserve">הנהלת החברה </w:t>
      </w:r>
      <w:r w:rsidR="00D818CC">
        <w:rPr>
          <w:rFonts w:cs="David" w:hint="cs"/>
          <w:rtl/>
          <w:lang w:eastAsia="en-US"/>
        </w:rPr>
        <w:t xml:space="preserve">הממונה על ידי בעלי השליטה </w:t>
      </w:r>
      <w:r w:rsidR="00D818CC">
        <w:rPr>
          <w:rFonts w:cs="David"/>
          <w:rtl/>
          <w:lang w:eastAsia="en-US"/>
        </w:rPr>
        <w:t>תקבל החלטות הנגועות בניגוד עניינים או שאינן לטובת החברה.</w:t>
      </w:r>
      <w:r w:rsidR="00D818CC">
        <w:rPr>
          <w:rStyle w:val="FootnoteReference"/>
          <w:rtl/>
          <w:lang w:eastAsia="en-US"/>
        </w:rPr>
        <w:footnoteReference w:id="1"/>
      </w:r>
      <w:r w:rsidR="00D818CC">
        <w:rPr>
          <w:rFonts w:cs="David"/>
          <w:rtl/>
          <w:lang w:eastAsia="en-US"/>
        </w:rPr>
        <w:t xml:space="preserve"> </w:t>
      </w:r>
    </w:p>
    <w:p w:rsidR="00466AF0" w:rsidRDefault="003A2DB8" w:rsidP="00BF1C0E">
      <w:pPr>
        <w:spacing w:after="240" w:line="360" w:lineRule="auto"/>
        <w:ind w:left="-58"/>
        <w:jc w:val="both"/>
        <w:rPr>
          <w:rFonts w:cs="David" w:hint="cs"/>
          <w:rtl/>
          <w:lang w:eastAsia="en-US"/>
        </w:rPr>
      </w:pPr>
      <w:r>
        <w:rPr>
          <w:rFonts w:cs="David"/>
          <w:rtl/>
          <w:lang w:eastAsia="en-US"/>
        </w:rPr>
        <w:t>משקיעים מוסדיים</w:t>
      </w:r>
      <w:r w:rsidR="00F236F9">
        <w:rPr>
          <w:rFonts w:cs="David" w:hint="cs"/>
          <w:rtl/>
          <w:lang w:eastAsia="en-US"/>
        </w:rPr>
        <w:t xml:space="preserve"> שמחזיקים במניות </w:t>
      </w:r>
      <w:r w:rsidR="00706682">
        <w:rPr>
          <w:rFonts w:cs="David" w:hint="cs"/>
          <w:rtl/>
          <w:lang w:eastAsia="en-US"/>
        </w:rPr>
        <w:t xml:space="preserve">מיעוט </w:t>
      </w:r>
      <w:r w:rsidR="0038703C">
        <w:rPr>
          <w:rFonts w:cs="David" w:hint="cs"/>
          <w:rtl/>
          <w:lang w:eastAsia="en-US"/>
        </w:rPr>
        <w:t>בחברות ציבוריות</w:t>
      </w:r>
      <w:r w:rsidR="00706682">
        <w:rPr>
          <w:rFonts w:cs="David" w:hint="cs"/>
          <w:rtl/>
          <w:lang w:eastAsia="en-US"/>
        </w:rPr>
        <w:t xml:space="preserve"> </w:t>
      </w:r>
      <w:r w:rsidR="00AB690B">
        <w:rPr>
          <w:rFonts w:cs="David" w:hint="cs"/>
          <w:rtl/>
          <w:lang w:eastAsia="en-US"/>
        </w:rPr>
        <w:t>נחשבים כמשקיע</w:t>
      </w:r>
      <w:r w:rsidR="00466AF0">
        <w:rPr>
          <w:rFonts w:cs="David" w:hint="cs"/>
          <w:rtl/>
          <w:lang w:eastAsia="en-US"/>
        </w:rPr>
        <w:t>ים</w:t>
      </w:r>
      <w:r w:rsidR="00AB690B">
        <w:rPr>
          <w:rFonts w:cs="David" w:hint="cs"/>
          <w:rtl/>
          <w:lang w:eastAsia="en-US"/>
        </w:rPr>
        <w:t xml:space="preserve"> מקצועי</w:t>
      </w:r>
      <w:r w:rsidR="00466AF0">
        <w:rPr>
          <w:rFonts w:cs="David" w:hint="cs"/>
          <w:rtl/>
          <w:lang w:eastAsia="en-US"/>
        </w:rPr>
        <w:t>ים</w:t>
      </w:r>
      <w:r w:rsidR="00EB7BE3">
        <w:rPr>
          <w:rFonts w:cs="David" w:hint="cs"/>
          <w:rtl/>
          <w:lang w:eastAsia="en-US"/>
        </w:rPr>
        <w:t>,</w:t>
      </w:r>
      <w:r w:rsidR="00AB690B">
        <w:rPr>
          <w:rFonts w:cs="David" w:hint="cs"/>
          <w:rtl/>
          <w:lang w:eastAsia="en-US"/>
        </w:rPr>
        <w:t xml:space="preserve"> </w:t>
      </w:r>
      <w:r w:rsidR="00466AF0">
        <w:rPr>
          <w:rFonts w:cs="David" w:hint="cs"/>
          <w:rtl/>
          <w:lang w:eastAsia="en-US"/>
        </w:rPr>
        <w:t>ש</w:t>
      </w:r>
      <w:r w:rsidR="00964EE0">
        <w:rPr>
          <w:rFonts w:cs="David"/>
          <w:rtl/>
          <w:lang w:eastAsia="en-US"/>
        </w:rPr>
        <w:t>מעורב</w:t>
      </w:r>
      <w:r w:rsidR="00C53C40">
        <w:rPr>
          <w:rFonts w:cs="David"/>
          <w:rtl/>
          <w:lang w:eastAsia="en-US"/>
        </w:rPr>
        <w:t>ות</w:t>
      </w:r>
      <w:r w:rsidR="00964EE0">
        <w:rPr>
          <w:rFonts w:cs="David"/>
          <w:rtl/>
          <w:lang w:eastAsia="en-US"/>
        </w:rPr>
        <w:t xml:space="preserve"> פעיל</w:t>
      </w:r>
      <w:r w:rsidR="00C53C40">
        <w:rPr>
          <w:rFonts w:cs="David"/>
          <w:rtl/>
          <w:lang w:eastAsia="en-US"/>
        </w:rPr>
        <w:t>ה</w:t>
      </w:r>
      <w:r w:rsidR="00964EE0">
        <w:rPr>
          <w:rFonts w:cs="David"/>
          <w:rtl/>
          <w:lang w:eastAsia="en-US"/>
        </w:rPr>
        <w:t xml:space="preserve"> </w:t>
      </w:r>
      <w:r w:rsidR="00D608A1">
        <w:rPr>
          <w:rFonts w:cs="David" w:hint="cs"/>
          <w:rtl/>
          <w:lang w:eastAsia="en-US"/>
        </w:rPr>
        <w:t xml:space="preserve">שלהם במנגנוני קבלת ההחלטות של </w:t>
      </w:r>
      <w:r w:rsidR="0038703C">
        <w:rPr>
          <w:rFonts w:cs="David" w:hint="cs"/>
          <w:rtl/>
          <w:lang w:eastAsia="en-US"/>
        </w:rPr>
        <w:t>החברה הציבורית</w:t>
      </w:r>
      <w:r w:rsidR="00D608A1">
        <w:rPr>
          <w:rFonts w:cs="David" w:hint="cs"/>
          <w:rtl/>
          <w:lang w:eastAsia="en-US"/>
        </w:rPr>
        <w:t xml:space="preserve"> עשויה לשפר את יכולתם של בעלי מניות המיעוט בחברה לפקח על הנעשה בה. מעורבות פעילה זו </w:t>
      </w:r>
      <w:r w:rsidR="006775BE">
        <w:rPr>
          <w:rFonts w:cs="David" w:hint="cs"/>
          <w:rtl/>
          <w:lang w:eastAsia="en-US"/>
        </w:rPr>
        <w:t xml:space="preserve">של הגופים המוסדיים </w:t>
      </w:r>
      <w:r w:rsidR="00D608A1">
        <w:rPr>
          <w:rFonts w:cs="David" w:hint="cs"/>
          <w:rtl/>
          <w:lang w:eastAsia="en-US"/>
        </w:rPr>
        <w:t xml:space="preserve">חשובה </w:t>
      </w:r>
      <w:r w:rsidR="00D608A1">
        <w:rPr>
          <w:rFonts w:cs="David" w:hint="cs"/>
          <w:rtl/>
          <w:lang w:eastAsia="en-US"/>
        </w:rPr>
        <w:lastRenderedPageBreak/>
        <w:t xml:space="preserve">במיוחד </w:t>
      </w:r>
      <w:r w:rsidR="006775BE">
        <w:rPr>
          <w:rFonts w:cs="David" w:hint="cs"/>
          <w:rtl/>
          <w:lang w:eastAsia="en-US"/>
        </w:rPr>
        <w:t xml:space="preserve">כאשר מדובר בקבלת החלטות עבורן נדרשת בדין </w:t>
      </w:r>
      <w:r w:rsidR="00D608A1">
        <w:rPr>
          <w:rFonts w:cs="David" w:hint="cs"/>
          <w:rtl/>
          <w:lang w:eastAsia="en-US"/>
        </w:rPr>
        <w:t>תמיכה</w:t>
      </w:r>
      <w:r w:rsidR="006775BE">
        <w:rPr>
          <w:rFonts w:cs="David" w:hint="cs"/>
          <w:rtl/>
          <w:lang w:eastAsia="en-US"/>
        </w:rPr>
        <w:t xml:space="preserve"> אקטיבית</w:t>
      </w:r>
      <w:r w:rsidR="00D608A1">
        <w:rPr>
          <w:rFonts w:cs="David" w:hint="cs"/>
          <w:rtl/>
          <w:lang w:eastAsia="en-US"/>
        </w:rPr>
        <w:t xml:space="preserve"> מצד בעלי מניות המיעוט בחברה.</w:t>
      </w:r>
      <w:r w:rsidR="00466AF0">
        <w:rPr>
          <w:rStyle w:val="FootnoteReference"/>
          <w:rtl/>
          <w:lang w:eastAsia="en-US"/>
        </w:rPr>
        <w:footnoteReference w:id="2"/>
      </w:r>
      <w:r w:rsidR="00466AF0">
        <w:rPr>
          <w:rFonts w:cs="David" w:hint="cs"/>
          <w:rtl/>
          <w:lang w:eastAsia="en-US"/>
        </w:rPr>
        <w:t xml:space="preserve"> </w:t>
      </w:r>
    </w:p>
    <w:p w:rsidR="000420F9" w:rsidRDefault="000420F9" w:rsidP="0007327B">
      <w:pPr>
        <w:spacing w:after="240" w:line="360" w:lineRule="auto"/>
        <w:ind w:left="-58"/>
        <w:jc w:val="both"/>
        <w:rPr>
          <w:rFonts w:cs="David" w:hint="cs"/>
          <w:rtl/>
          <w:lang w:eastAsia="en-US"/>
        </w:rPr>
      </w:pPr>
      <w:r w:rsidRPr="002B2994">
        <w:rPr>
          <w:rFonts w:cs="David"/>
          <w:rtl/>
          <w:lang w:eastAsia="en-US"/>
        </w:rPr>
        <w:t xml:space="preserve">במקרים רבים תלויה יעילות הפיקוח על הנהלת </w:t>
      </w:r>
      <w:r w:rsidR="00794587">
        <w:rPr>
          <w:rFonts w:cs="David" w:hint="cs"/>
          <w:rtl/>
          <w:lang w:eastAsia="en-US"/>
        </w:rPr>
        <w:t>ה</w:t>
      </w:r>
      <w:r w:rsidR="006775BE">
        <w:rPr>
          <w:rFonts w:cs="David" w:hint="cs"/>
          <w:rtl/>
          <w:lang w:eastAsia="en-US"/>
        </w:rPr>
        <w:t>תאגיד</w:t>
      </w:r>
      <w:r w:rsidRPr="002B2994">
        <w:rPr>
          <w:rFonts w:cs="David"/>
          <w:rtl/>
          <w:lang w:eastAsia="en-US"/>
        </w:rPr>
        <w:t xml:space="preserve"> ב</w:t>
      </w:r>
      <w:r w:rsidR="00794587">
        <w:rPr>
          <w:rFonts w:cs="David" w:hint="cs"/>
          <w:rtl/>
          <w:lang w:eastAsia="en-US"/>
        </w:rPr>
        <w:t xml:space="preserve">קיומו של </w:t>
      </w:r>
      <w:r w:rsidRPr="002B2994">
        <w:rPr>
          <w:rFonts w:cs="David"/>
          <w:rtl/>
          <w:lang w:eastAsia="en-US"/>
        </w:rPr>
        <w:t xml:space="preserve">שיתוף פעולה בין </w:t>
      </w:r>
      <w:r w:rsidR="00466AF0">
        <w:rPr>
          <w:rFonts w:cs="David" w:hint="cs"/>
          <w:rtl/>
          <w:lang w:eastAsia="en-US"/>
        </w:rPr>
        <w:t xml:space="preserve">בעלי מניות </w:t>
      </w:r>
      <w:r w:rsidR="00466AF0" w:rsidRPr="003C20F8">
        <w:rPr>
          <w:rFonts w:cs="David" w:hint="cs"/>
          <w:rtl/>
          <w:lang w:eastAsia="en-US"/>
        </w:rPr>
        <w:t>מיעוט</w:t>
      </w:r>
      <w:r w:rsidRPr="003C20F8">
        <w:rPr>
          <w:rFonts w:cs="David"/>
          <w:rtl/>
          <w:lang w:eastAsia="en-US"/>
        </w:rPr>
        <w:t xml:space="preserve"> </w:t>
      </w:r>
      <w:r w:rsidR="00E95C76" w:rsidRPr="003C20F8">
        <w:rPr>
          <w:rFonts w:cs="David" w:hint="cs"/>
          <w:rtl/>
          <w:lang w:eastAsia="en-US"/>
        </w:rPr>
        <w:t xml:space="preserve">(או בין בעלי מניות בחברה ללא גרעין שליטה) </w:t>
      </w:r>
      <w:r w:rsidRPr="003C20F8">
        <w:rPr>
          <w:rFonts w:cs="David"/>
          <w:rtl/>
          <w:lang w:eastAsia="en-US"/>
        </w:rPr>
        <w:t>אשר</w:t>
      </w:r>
      <w:r w:rsidRPr="002B2994">
        <w:rPr>
          <w:rFonts w:cs="David"/>
          <w:rtl/>
          <w:lang w:eastAsia="en-US"/>
        </w:rPr>
        <w:t xml:space="preserve"> מחזיקים</w:t>
      </w:r>
      <w:r w:rsidRPr="002B2994">
        <w:rPr>
          <w:rFonts w:cs="David" w:hint="cs"/>
          <w:rtl/>
          <w:lang w:eastAsia="en-US"/>
        </w:rPr>
        <w:t xml:space="preserve"> יחד</w:t>
      </w:r>
      <w:r w:rsidRPr="002B2994">
        <w:rPr>
          <w:rFonts w:cs="David"/>
          <w:rtl/>
          <w:lang w:eastAsia="en-US"/>
        </w:rPr>
        <w:t xml:space="preserve"> ב</w:t>
      </w:r>
      <w:r w:rsidRPr="002B2994">
        <w:rPr>
          <w:rFonts w:cs="David" w:hint="cs"/>
          <w:rtl/>
          <w:lang w:eastAsia="en-US"/>
        </w:rPr>
        <w:t xml:space="preserve">חלק משמעותי </w:t>
      </w:r>
      <w:r w:rsidR="00466AF0">
        <w:rPr>
          <w:rFonts w:cs="David" w:hint="cs"/>
          <w:rtl/>
          <w:lang w:eastAsia="en-US"/>
        </w:rPr>
        <w:t xml:space="preserve">של </w:t>
      </w:r>
      <w:r w:rsidRPr="00E51B23">
        <w:rPr>
          <w:rFonts w:cs="David"/>
          <w:rtl/>
          <w:lang w:eastAsia="en-US"/>
        </w:rPr>
        <w:t>הון המניות של התאגיד. שי</w:t>
      </w:r>
      <w:r w:rsidR="00466AF0">
        <w:rPr>
          <w:rFonts w:cs="David" w:hint="cs"/>
          <w:rtl/>
          <w:lang w:eastAsia="en-US"/>
        </w:rPr>
        <w:t>תוף פעולה</w:t>
      </w:r>
      <w:r w:rsidRPr="00E51B23">
        <w:rPr>
          <w:rFonts w:cs="David"/>
          <w:rtl/>
          <w:lang w:eastAsia="en-US"/>
        </w:rPr>
        <w:t xml:space="preserve"> </w:t>
      </w:r>
      <w:r w:rsidR="00466AF0">
        <w:rPr>
          <w:rFonts w:cs="David" w:hint="cs"/>
          <w:rtl/>
          <w:lang w:eastAsia="en-US"/>
        </w:rPr>
        <w:t xml:space="preserve">זה </w:t>
      </w:r>
      <w:r w:rsidR="00DD00EC">
        <w:rPr>
          <w:rFonts w:cs="David" w:hint="cs"/>
          <w:rtl/>
          <w:lang w:eastAsia="en-US"/>
        </w:rPr>
        <w:t>עשוי</w:t>
      </w:r>
      <w:r w:rsidRPr="00F155B1">
        <w:rPr>
          <w:rFonts w:cs="David" w:hint="cs"/>
          <w:rtl/>
          <w:lang w:eastAsia="en-US"/>
        </w:rPr>
        <w:t xml:space="preserve"> להקנות</w:t>
      </w:r>
      <w:r w:rsidRPr="00F155B1">
        <w:rPr>
          <w:rFonts w:cs="David"/>
          <w:rtl/>
          <w:lang w:eastAsia="en-US"/>
        </w:rPr>
        <w:t xml:space="preserve"> </w:t>
      </w:r>
      <w:r w:rsidR="00466AF0" w:rsidRPr="00F155B1">
        <w:rPr>
          <w:rFonts w:cs="David"/>
          <w:rtl/>
          <w:lang w:eastAsia="en-US"/>
        </w:rPr>
        <w:t>ל</w:t>
      </w:r>
      <w:r w:rsidR="00466AF0">
        <w:rPr>
          <w:rFonts w:cs="David" w:hint="cs"/>
          <w:rtl/>
          <w:lang w:eastAsia="en-US"/>
        </w:rPr>
        <w:t>גופים המוסדיים</w:t>
      </w:r>
      <w:r w:rsidR="006775BE">
        <w:rPr>
          <w:rFonts w:cs="David" w:hint="cs"/>
          <w:rtl/>
          <w:lang w:eastAsia="en-US"/>
        </w:rPr>
        <w:t>,</w:t>
      </w:r>
      <w:r w:rsidR="00466AF0">
        <w:rPr>
          <w:rFonts w:cs="David" w:hint="cs"/>
          <w:rtl/>
          <w:lang w:eastAsia="en-US"/>
        </w:rPr>
        <w:t xml:space="preserve"> כמו </w:t>
      </w:r>
      <w:r w:rsidR="006775BE">
        <w:rPr>
          <w:rFonts w:cs="David" w:hint="cs"/>
          <w:rtl/>
          <w:lang w:eastAsia="en-US"/>
        </w:rPr>
        <w:t>ל</w:t>
      </w:r>
      <w:r w:rsidR="00466AF0">
        <w:rPr>
          <w:rFonts w:cs="David" w:hint="cs"/>
          <w:rtl/>
          <w:lang w:eastAsia="en-US"/>
        </w:rPr>
        <w:t xml:space="preserve">כל בעלי מניות </w:t>
      </w:r>
      <w:r w:rsidR="006775BE">
        <w:rPr>
          <w:rFonts w:cs="David" w:hint="cs"/>
          <w:rtl/>
          <w:lang w:eastAsia="en-US"/>
        </w:rPr>
        <w:t>ה</w:t>
      </w:r>
      <w:r w:rsidR="00466AF0">
        <w:rPr>
          <w:rFonts w:cs="David" w:hint="cs"/>
          <w:rtl/>
          <w:lang w:eastAsia="en-US"/>
        </w:rPr>
        <w:t xml:space="preserve">מיעוט </w:t>
      </w:r>
      <w:r w:rsidR="006775BE">
        <w:rPr>
          <w:rFonts w:cs="David" w:hint="cs"/>
          <w:rtl/>
          <w:lang w:eastAsia="en-US"/>
        </w:rPr>
        <w:t>ה</w:t>
      </w:r>
      <w:r w:rsidR="00466AF0">
        <w:rPr>
          <w:rFonts w:cs="David" w:hint="cs"/>
          <w:rtl/>
          <w:lang w:eastAsia="en-US"/>
        </w:rPr>
        <w:t>אחר</w:t>
      </w:r>
      <w:r w:rsidR="006775BE">
        <w:rPr>
          <w:rFonts w:cs="David" w:hint="cs"/>
          <w:rtl/>
          <w:lang w:eastAsia="en-US"/>
        </w:rPr>
        <w:t>ים,</w:t>
      </w:r>
      <w:r w:rsidR="00466AF0">
        <w:rPr>
          <w:rFonts w:cs="David" w:hint="cs"/>
          <w:rtl/>
          <w:lang w:eastAsia="en-US"/>
        </w:rPr>
        <w:t xml:space="preserve"> </w:t>
      </w:r>
      <w:r w:rsidR="004218AB">
        <w:rPr>
          <w:rFonts w:cs="David" w:hint="cs"/>
          <w:rtl/>
          <w:lang w:eastAsia="en-US"/>
        </w:rPr>
        <w:t>י</w:t>
      </w:r>
      <w:r w:rsidRPr="00F155B1">
        <w:rPr>
          <w:rFonts w:cs="David"/>
          <w:rtl/>
          <w:lang w:eastAsia="en-US"/>
        </w:rPr>
        <w:t xml:space="preserve">כולת </w:t>
      </w:r>
      <w:r w:rsidR="006775BE">
        <w:rPr>
          <w:rFonts w:cs="David" w:hint="cs"/>
          <w:rtl/>
          <w:lang w:eastAsia="en-US"/>
        </w:rPr>
        <w:t>השפעה משמעותית יותר</w:t>
      </w:r>
      <w:r w:rsidR="00466AF0">
        <w:rPr>
          <w:rFonts w:cs="David" w:hint="cs"/>
          <w:rtl/>
          <w:lang w:eastAsia="en-US"/>
        </w:rPr>
        <w:t xml:space="preserve"> </w:t>
      </w:r>
      <w:r w:rsidRPr="00F155B1">
        <w:rPr>
          <w:rFonts w:cs="David"/>
          <w:rtl/>
          <w:lang w:eastAsia="en-US"/>
        </w:rPr>
        <w:t>על התנהלות התאגיד</w:t>
      </w:r>
      <w:r w:rsidR="00466AF0">
        <w:rPr>
          <w:rFonts w:cs="David" w:hint="cs"/>
          <w:rtl/>
          <w:lang w:eastAsia="en-US"/>
        </w:rPr>
        <w:t>,</w:t>
      </w:r>
      <w:r w:rsidRPr="00F155B1">
        <w:rPr>
          <w:rFonts w:cs="David" w:hint="cs"/>
          <w:rtl/>
          <w:lang w:eastAsia="en-US"/>
        </w:rPr>
        <w:t xml:space="preserve"> </w:t>
      </w:r>
      <w:r w:rsidR="00E7666C">
        <w:rPr>
          <w:rFonts w:cs="David" w:hint="cs"/>
          <w:rtl/>
          <w:lang w:eastAsia="en-US"/>
        </w:rPr>
        <w:t>לעומת</w:t>
      </w:r>
      <w:r w:rsidR="00466AF0">
        <w:rPr>
          <w:rFonts w:cs="David" w:hint="cs"/>
          <w:rtl/>
          <w:lang w:eastAsia="en-US"/>
        </w:rPr>
        <w:t xml:space="preserve"> </w:t>
      </w:r>
      <w:r w:rsidR="00D41EED">
        <w:rPr>
          <w:rFonts w:cs="David" w:hint="cs"/>
          <w:rtl/>
          <w:lang w:eastAsia="en-US"/>
        </w:rPr>
        <w:t>פעולה</w:t>
      </w:r>
      <w:r w:rsidRPr="00F155B1">
        <w:rPr>
          <w:rFonts w:cs="David" w:hint="cs"/>
          <w:rtl/>
          <w:lang w:eastAsia="en-US"/>
        </w:rPr>
        <w:t xml:space="preserve"> באופן נפרד ועצמאי</w:t>
      </w:r>
      <w:r>
        <w:rPr>
          <w:rFonts w:cs="David" w:hint="cs"/>
          <w:rtl/>
          <w:lang w:eastAsia="en-US"/>
        </w:rPr>
        <w:t>.</w:t>
      </w:r>
    </w:p>
    <w:p w:rsidR="008155FF" w:rsidRDefault="008155FF" w:rsidP="008155FF">
      <w:pPr>
        <w:spacing w:after="240" w:line="360" w:lineRule="auto"/>
        <w:ind w:left="-58"/>
        <w:jc w:val="both"/>
        <w:rPr>
          <w:rFonts w:cs="David" w:hint="cs"/>
          <w:rtl/>
          <w:lang w:eastAsia="en-US"/>
        </w:rPr>
      </w:pPr>
      <w:r>
        <w:rPr>
          <w:rFonts w:cs="David"/>
          <w:rtl/>
          <w:lang w:eastAsia="en-US"/>
        </w:rPr>
        <w:t>הצורך ב</w:t>
      </w:r>
      <w:r>
        <w:rPr>
          <w:rFonts w:cs="David" w:hint="cs"/>
          <w:rtl/>
          <w:lang w:eastAsia="en-US"/>
        </w:rPr>
        <w:t xml:space="preserve">קידום </w:t>
      </w:r>
      <w:r>
        <w:rPr>
          <w:rFonts w:cs="David"/>
          <w:rtl/>
          <w:lang w:eastAsia="en-US"/>
        </w:rPr>
        <w:t>שיתופי פעולה</w:t>
      </w:r>
      <w:r>
        <w:rPr>
          <w:rFonts w:cs="David" w:hint="cs"/>
          <w:rtl/>
          <w:lang w:eastAsia="en-US"/>
        </w:rPr>
        <w:t xml:space="preserve"> בין גופים מוסדיים בקבלת החלטות בתאגידים</w:t>
      </w:r>
      <w:r>
        <w:rPr>
          <w:rFonts w:cs="David"/>
          <w:rtl/>
          <w:lang w:eastAsia="en-US"/>
        </w:rPr>
        <w:t xml:space="preserve"> </w:t>
      </w:r>
      <w:r>
        <w:rPr>
          <w:rFonts w:cs="David" w:hint="cs"/>
          <w:rtl/>
          <w:lang w:eastAsia="en-US"/>
        </w:rPr>
        <w:t>התגבר</w:t>
      </w:r>
      <w:r>
        <w:rPr>
          <w:rFonts w:cs="David"/>
          <w:rtl/>
          <w:lang w:eastAsia="en-US"/>
        </w:rPr>
        <w:t xml:space="preserve"> בשנים האחרונות </w:t>
      </w:r>
      <w:r>
        <w:rPr>
          <w:rFonts w:cs="David" w:hint="cs"/>
          <w:rtl/>
          <w:lang w:eastAsia="en-US"/>
        </w:rPr>
        <w:t>נוכח</w:t>
      </w:r>
      <w:r>
        <w:rPr>
          <w:rFonts w:cs="David"/>
          <w:rtl/>
          <w:lang w:eastAsia="en-US"/>
        </w:rPr>
        <w:t xml:space="preserve"> תמורות המתרחשות</w:t>
      </w:r>
      <w:r>
        <w:rPr>
          <w:rFonts w:cs="David" w:hint="cs"/>
          <w:rtl/>
          <w:lang w:eastAsia="en-US"/>
        </w:rPr>
        <w:t xml:space="preserve"> הן</w:t>
      </w:r>
      <w:r>
        <w:rPr>
          <w:rFonts w:cs="David"/>
          <w:rtl/>
          <w:lang w:eastAsia="en-US"/>
        </w:rPr>
        <w:t xml:space="preserve"> בשוק ההון הישראלי </w:t>
      </w:r>
      <w:r>
        <w:rPr>
          <w:rFonts w:cs="David" w:hint="cs"/>
          <w:rtl/>
          <w:lang w:eastAsia="en-US"/>
        </w:rPr>
        <w:t>והן</w:t>
      </w:r>
      <w:r>
        <w:rPr>
          <w:rFonts w:cs="David"/>
          <w:rtl/>
          <w:lang w:eastAsia="en-US"/>
        </w:rPr>
        <w:t xml:space="preserve"> בשוקי ההון בעולם</w:t>
      </w:r>
      <w:r>
        <w:rPr>
          <w:rFonts w:cs="David" w:hint="cs"/>
          <w:rtl/>
          <w:lang w:eastAsia="en-US"/>
        </w:rPr>
        <w:t>. ועדות שונות שדנו בנושא בישראל הדגישו במסקנותיהן את היתרונות הגלומים בשיתוף פעולה מעין זה.</w:t>
      </w:r>
      <w:r>
        <w:rPr>
          <w:rStyle w:val="FootnoteReference"/>
          <w:rtl/>
          <w:lang w:eastAsia="en-US"/>
        </w:rPr>
        <w:footnoteReference w:id="3"/>
      </w:r>
      <w:r>
        <w:rPr>
          <w:rFonts w:cs="David" w:hint="cs"/>
          <w:rtl/>
          <w:lang w:eastAsia="en-US"/>
        </w:rPr>
        <w:t xml:space="preserve"> כמו כן, עקרונות הממשל התאגידי שפותחו על ידי ארגון ה-</w:t>
      </w:r>
      <w:r>
        <w:rPr>
          <w:rFonts w:cs="David"/>
          <w:lang w:eastAsia="en-US"/>
        </w:rPr>
        <w:t>OECD</w:t>
      </w:r>
      <w:r>
        <w:rPr>
          <w:rFonts w:cs="David" w:hint="cs"/>
          <w:rtl/>
          <w:lang w:eastAsia="en-US"/>
        </w:rPr>
        <w:t xml:space="preserve"> הכירו בחשיבות שיתוף הפעולה בין גופים פיננסים, במקום שבו לא עולה חשש לפגיעה תחרותית.</w:t>
      </w:r>
      <w:r>
        <w:rPr>
          <w:rStyle w:val="FootnoteReference"/>
          <w:rtl/>
          <w:lang w:eastAsia="en-US"/>
        </w:rPr>
        <w:footnoteReference w:id="4"/>
      </w:r>
      <w:r>
        <w:rPr>
          <w:rFonts w:cs="David"/>
          <w:rtl/>
          <w:lang w:eastAsia="en-US"/>
        </w:rPr>
        <w:t xml:space="preserve"> </w:t>
      </w:r>
      <w:r>
        <w:rPr>
          <w:rFonts w:cs="David" w:hint="cs"/>
          <w:rtl/>
          <w:lang w:eastAsia="en-US"/>
        </w:rPr>
        <w:t xml:space="preserve"> </w:t>
      </w:r>
    </w:p>
    <w:p w:rsidR="007A19BD" w:rsidRPr="006252F7" w:rsidRDefault="007A19BD" w:rsidP="00821260">
      <w:pPr>
        <w:spacing w:after="240" w:line="360" w:lineRule="auto"/>
        <w:ind w:left="-58"/>
        <w:jc w:val="both"/>
        <w:rPr>
          <w:rFonts w:cs="David"/>
          <w:rtl/>
          <w:lang w:eastAsia="en-US"/>
        </w:rPr>
      </w:pPr>
      <w:r>
        <w:rPr>
          <w:rFonts w:cs="David" w:hint="cs"/>
          <w:rtl/>
          <w:lang w:eastAsia="en-US"/>
        </w:rPr>
        <w:t>במהלך השנים התקבלו</w:t>
      </w:r>
      <w:r w:rsidR="00E7666C">
        <w:rPr>
          <w:rFonts w:cs="David" w:hint="cs"/>
          <w:rtl/>
          <w:lang w:eastAsia="en-US"/>
        </w:rPr>
        <w:t xml:space="preserve"> אצל רשות </w:t>
      </w:r>
      <w:r w:rsidR="00C94032">
        <w:rPr>
          <w:rFonts w:cs="David" w:hint="cs"/>
          <w:rtl/>
          <w:lang w:eastAsia="en-US"/>
        </w:rPr>
        <w:t>התחרות</w:t>
      </w:r>
      <w:r w:rsidR="00E7666C">
        <w:rPr>
          <w:rFonts w:cs="David" w:hint="cs"/>
          <w:rtl/>
          <w:lang w:eastAsia="en-US"/>
        </w:rPr>
        <w:t xml:space="preserve"> (להלן</w:t>
      </w:r>
      <w:r>
        <w:rPr>
          <w:rFonts w:cs="David" w:hint="cs"/>
          <w:rtl/>
          <w:lang w:eastAsia="en-US"/>
        </w:rPr>
        <w:t xml:space="preserve"> </w:t>
      </w:r>
      <w:r w:rsidRPr="00054398">
        <w:rPr>
          <w:rFonts w:cs="David" w:hint="cs"/>
          <w:b/>
          <w:bCs/>
          <w:rtl/>
          <w:lang w:eastAsia="en-US"/>
        </w:rPr>
        <w:t>הרשות</w:t>
      </w:r>
      <w:r>
        <w:rPr>
          <w:rFonts w:cs="David" w:hint="cs"/>
          <w:rtl/>
          <w:lang w:eastAsia="en-US"/>
        </w:rPr>
        <w:t xml:space="preserve">) </w:t>
      </w:r>
      <w:r w:rsidR="00446827">
        <w:rPr>
          <w:rFonts w:cs="David" w:hint="cs"/>
          <w:rtl/>
          <w:lang w:eastAsia="en-US"/>
        </w:rPr>
        <w:t>פניות של בעלי מניות אשר ביקשו ל</w:t>
      </w:r>
      <w:r w:rsidR="00B921F6">
        <w:rPr>
          <w:rFonts w:cs="David" w:hint="cs"/>
          <w:rtl/>
          <w:lang w:eastAsia="en-US"/>
        </w:rPr>
        <w:t xml:space="preserve">תאם את הצבעותיהם באסיפות כלליות בתאגידים </w:t>
      </w:r>
      <w:r w:rsidR="00A50924">
        <w:rPr>
          <w:rFonts w:cs="David" w:hint="cs"/>
          <w:rtl/>
          <w:lang w:eastAsia="en-US"/>
        </w:rPr>
        <w:t>ש</w:t>
      </w:r>
      <w:r w:rsidR="00B921F6">
        <w:rPr>
          <w:rFonts w:cs="David" w:hint="cs"/>
          <w:rtl/>
          <w:lang w:eastAsia="en-US"/>
        </w:rPr>
        <w:t xml:space="preserve">בהם הם מושקעים אך </w:t>
      </w:r>
      <w:r w:rsidR="006775BE">
        <w:rPr>
          <w:rFonts w:cs="David" w:hint="cs"/>
          <w:rtl/>
          <w:lang w:eastAsia="en-US"/>
        </w:rPr>
        <w:t xml:space="preserve">נמנעו </w:t>
      </w:r>
      <w:r w:rsidR="00B921F6">
        <w:rPr>
          <w:rFonts w:cs="David" w:hint="cs"/>
          <w:rtl/>
          <w:lang w:eastAsia="en-US"/>
        </w:rPr>
        <w:t>מלעשות זאת בשל החשש מהפרה של החוק. גילוי דעת זה נועד לשקף את עמדת הרשות באשר לסוגי שיתופי פעולה בין משקיעים אשר לא ייחשבו להסדרים כובלים</w:t>
      </w:r>
      <w:r w:rsidR="00BF1C0E">
        <w:rPr>
          <w:rFonts w:cs="David" w:hint="cs"/>
          <w:rtl/>
          <w:lang w:eastAsia="en-US"/>
        </w:rPr>
        <w:t>.</w:t>
      </w:r>
      <w:r w:rsidR="00B921F6">
        <w:rPr>
          <w:rFonts w:cs="David" w:hint="cs"/>
          <w:rtl/>
          <w:lang w:eastAsia="en-US"/>
        </w:rPr>
        <w:t xml:space="preserve"> </w:t>
      </w:r>
    </w:p>
    <w:p w:rsidR="003A7419" w:rsidRPr="0097532A" w:rsidRDefault="000F5300" w:rsidP="000F5300">
      <w:pPr>
        <w:numPr>
          <w:ilvl w:val="0"/>
          <w:numId w:val="1"/>
        </w:numPr>
        <w:spacing w:after="240" w:line="360" w:lineRule="auto"/>
        <w:ind w:left="-58"/>
        <w:jc w:val="both"/>
        <w:rPr>
          <w:rFonts w:cs="David"/>
          <w:b/>
          <w:bCs/>
          <w:lang w:eastAsia="en-US"/>
        </w:rPr>
      </w:pPr>
      <w:r>
        <w:rPr>
          <w:rFonts w:cs="David" w:hint="cs"/>
          <w:b/>
          <w:bCs/>
          <w:rtl/>
          <w:lang w:eastAsia="en-US"/>
        </w:rPr>
        <w:lastRenderedPageBreak/>
        <w:t>החשיבות ב</w:t>
      </w:r>
      <w:r w:rsidR="00C12F7B" w:rsidRPr="004C0516">
        <w:rPr>
          <w:rFonts w:cs="David" w:hint="cs"/>
          <w:b/>
          <w:bCs/>
          <w:rtl/>
          <w:lang w:eastAsia="en-US"/>
        </w:rPr>
        <w:t>שיתו</w:t>
      </w:r>
      <w:r>
        <w:rPr>
          <w:rFonts w:cs="David" w:hint="cs"/>
          <w:b/>
          <w:bCs/>
          <w:rtl/>
          <w:lang w:eastAsia="en-US"/>
        </w:rPr>
        <w:t>ף</w:t>
      </w:r>
      <w:r w:rsidR="00C12F7B" w:rsidRPr="004C0516">
        <w:rPr>
          <w:rFonts w:cs="David" w:hint="cs"/>
          <w:b/>
          <w:bCs/>
          <w:rtl/>
          <w:lang w:eastAsia="en-US"/>
        </w:rPr>
        <w:t xml:space="preserve"> פעולה בין</w:t>
      </w:r>
      <w:r w:rsidR="003A7419" w:rsidRPr="0097532A">
        <w:rPr>
          <w:rFonts w:cs="David"/>
          <w:b/>
          <w:bCs/>
          <w:rtl/>
          <w:lang w:eastAsia="en-US"/>
        </w:rPr>
        <w:t xml:space="preserve"> משקיעים מוסדיים</w:t>
      </w:r>
      <w:r w:rsidR="00C12F7B">
        <w:rPr>
          <w:rFonts w:cs="David" w:hint="cs"/>
          <w:b/>
          <w:bCs/>
          <w:rtl/>
          <w:lang w:eastAsia="en-US"/>
        </w:rPr>
        <w:t xml:space="preserve"> במשטר תאגידי</w:t>
      </w:r>
    </w:p>
    <w:p w:rsidR="003A7C49" w:rsidRDefault="003A7C49" w:rsidP="00142C34">
      <w:pPr>
        <w:spacing w:after="240" w:line="360" w:lineRule="auto"/>
        <w:ind w:left="-58"/>
        <w:jc w:val="both"/>
        <w:rPr>
          <w:rFonts w:cs="David" w:hint="cs"/>
          <w:rtl/>
          <w:lang w:eastAsia="en-US"/>
        </w:rPr>
      </w:pPr>
      <w:r>
        <w:rPr>
          <w:rFonts w:cs="David" w:hint="cs"/>
          <w:rtl/>
          <w:lang w:eastAsia="en-US"/>
        </w:rPr>
        <w:t xml:space="preserve">משקיעים </w:t>
      </w:r>
      <w:r w:rsidR="00535C2C">
        <w:rPr>
          <w:rFonts w:cs="David" w:hint="cs"/>
          <w:rtl/>
          <w:lang w:eastAsia="en-US"/>
        </w:rPr>
        <w:t>מוסדיים</w:t>
      </w:r>
      <w:r w:rsidR="00535C2C">
        <w:rPr>
          <w:rFonts w:cs="David"/>
          <w:rtl/>
          <w:lang w:eastAsia="en-US"/>
        </w:rPr>
        <w:t xml:space="preserve"> </w:t>
      </w:r>
      <w:r w:rsidR="003A7419">
        <w:rPr>
          <w:rFonts w:cs="David"/>
          <w:rtl/>
          <w:lang w:eastAsia="en-US"/>
        </w:rPr>
        <w:t xml:space="preserve">כפופים </w:t>
      </w:r>
      <w:r w:rsidR="001B5676">
        <w:rPr>
          <w:rFonts w:cs="David" w:hint="cs"/>
          <w:rtl/>
          <w:lang w:eastAsia="en-US"/>
        </w:rPr>
        <w:t>לאסדרה</w:t>
      </w:r>
      <w:r w:rsidR="001B5676">
        <w:rPr>
          <w:rFonts w:cs="David"/>
          <w:rtl/>
          <w:lang w:eastAsia="en-US"/>
        </w:rPr>
        <w:t xml:space="preserve"> </w:t>
      </w:r>
      <w:r w:rsidR="003A7419">
        <w:rPr>
          <w:rFonts w:cs="David"/>
          <w:rtl/>
          <w:lang w:eastAsia="en-US"/>
        </w:rPr>
        <w:t>מקיפה</w:t>
      </w:r>
      <w:r w:rsidR="00FF39A3">
        <w:rPr>
          <w:rFonts w:cs="David" w:hint="cs"/>
          <w:rtl/>
          <w:lang w:eastAsia="en-US"/>
        </w:rPr>
        <w:t xml:space="preserve"> הנוגעת להשקעותיהם</w:t>
      </w:r>
      <w:r>
        <w:rPr>
          <w:rFonts w:cs="David" w:hint="cs"/>
          <w:rtl/>
          <w:lang w:eastAsia="en-US"/>
        </w:rPr>
        <w:t>,</w:t>
      </w:r>
      <w:r>
        <w:rPr>
          <w:rStyle w:val="FootnoteReference"/>
          <w:rtl/>
          <w:lang w:eastAsia="en-US"/>
        </w:rPr>
        <w:footnoteReference w:id="5"/>
      </w:r>
      <w:r>
        <w:rPr>
          <w:rFonts w:cs="David"/>
          <w:rtl/>
          <w:lang w:eastAsia="en-US"/>
        </w:rPr>
        <w:t xml:space="preserve"> </w:t>
      </w:r>
      <w:r w:rsidR="00687645">
        <w:rPr>
          <w:rFonts w:cs="David" w:hint="cs"/>
          <w:rtl/>
          <w:lang w:eastAsia="en-US"/>
        </w:rPr>
        <w:t>א</w:t>
      </w:r>
      <w:r>
        <w:rPr>
          <w:rFonts w:cs="David" w:hint="cs"/>
          <w:rtl/>
          <w:lang w:eastAsia="en-US"/>
        </w:rPr>
        <w:t>ש</w:t>
      </w:r>
      <w:r w:rsidR="00687645">
        <w:rPr>
          <w:rFonts w:cs="David" w:hint="cs"/>
          <w:rtl/>
          <w:lang w:eastAsia="en-US"/>
        </w:rPr>
        <w:t xml:space="preserve">ר </w:t>
      </w:r>
      <w:r w:rsidR="003A7419">
        <w:rPr>
          <w:rFonts w:cs="David"/>
          <w:rtl/>
          <w:lang w:eastAsia="en-US"/>
        </w:rPr>
        <w:t>נועד</w:t>
      </w:r>
      <w:r>
        <w:rPr>
          <w:rFonts w:cs="David" w:hint="cs"/>
          <w:rtl/>
          <w:lang w:eastAsia="en-US"/>
        </w:rPr>
        <w:t>ה</w:t>
      </w:r>
      <w:r w:rsidR="003A7419">
        <w:rPr>
          <w:rFonts w:cs="David"/>
          <w:rtl/>
          <w:lang w:eastAsia="en-US"/>
        </w:rPr>
        <w:t xml:space="preserve"> </w:t>
      </w:r>
      <w:r w:rsidR="00687645">
        <w:rPr>
          <w:rFonts w:cs="David" w:hint="cs"/>
          <w:rtl/>
          <w:lang w:eastAsia="en-US"/>
        </w:rPr>
        <w:t xml:space="preserve">בין היתר </w:t>
      </w:r>
      <w:r w:rsidR="003A7419">
        <w:rPr>
          <w:rFonts w:cs="David"/>
          <w:rtl/>
          <w:lang w:eastAsia="en-US"/>
        </w:rPr>
        <w:t>להבטיח כי השקע</w:t>
      </w:r>
      <w:r>
        <w:rPr>
          <w:rFonts w:cs="David" w:hint="cs"/>
          <w:rtl/>
          <w:lang w:eastAsia="en-US"/>
        </w:rPr>
        <w:t>תם</w:t>
      </w:r>
      <w:r w:rsidR="003A7419">
        <w:rPr>
          <w:rFonts w:cs="David"/>
          <w:rtl/>
          <w:lang w:eastAsia="en-US"/>
        </w:rPr>
        <w:t xml:space="preserve"> תהא פיננסית גרידא, </w:t>
      </w:r>
      <w:r w:rsidR="000F5300">
        <w:rPr>
          <w:rFonts w:cs="David" w:hint="cs"/>
          <w:rtl/>
          <w:lang w:eastAsia="en-US"/>
        </w:rPr>
        <w:t xml:space="preserve">ללא ממד של שליטה על התאגיד המוחזק. </w:t>
      </w:r>
      <w:r w:rsidR="001B5676">
        <w:rPr>
          <w:rFonts w:cs="David" w:hint="cs"/>
          <w:rtl/>
          <w:lang w:eastAsia="en-US"/>
        </w:rPr>
        <w:t>אסדרה זו, בשילוב עם הגידול</w:t>
      </w:r>
      <w:r w:rsidR="001B5676">
        <w:rPr>
          <w:rFonts w:cs="David"/>
          <w:rtl/>
          <w:lang w:eastAsia="en-US"/>
        </w:rPr>
        <w:t xml:space="preserve"> המשמעותי </w:t>
      </w:r>
      <w:r w:rsidR="00687645">
        <w:rPr>
          <w:rFonts w:cs="David" w:hint="cs"/>
          <w:rtl/>
          <w:lang w:eastAsia="en-US"/>
        </w:rPr>
        <w:t xml:space="preserve">והעקבי </w:t>
      </w:r>
      <w:r w:rsidR="001B5676">
        <w:rPr>
          <w:rFonts w:cs="David"/>
          <w:rtl/>
          <w:lang w:eastAsia="en-US"/>
        </w:rPr>
        <w:t>ב</w:t>
      </w:r>
      <w:r w:rsidR="001B5676">
        <w:rPr>
          <w:rFonts w:cs="David" w:hint="cs"/>
          <w:rtl/>
          <w:lang w:eastAsia="en-US"/>
        </w:rPr>
        <w:t>סך הכספים המנוהלים על י</w:t>
      </w:r>
      <w:r w:rsidR="001B5676">
        <w:rPr>
          <w:rFonts w:cs="David"/>
          <w:rtl/>
          <w:lang w:eastAsia="en-US"/>
        </w:rPr>
        <w:t>די הגופים המוסדיים</w:t>
      </w:r>
      <w:r w:rsidR="001B5676">
        <w:rPr>
          <w:rFonts w:cs="David" w:hint="cs"/>
          <w:rtl/>
          <w:lang w:eastAsia="en-US"/>
        </w:rPr>
        <w:t xml:space="preserve">, מביאים לכך שהם מהווים </w:t>
      </w:r>
      <w:r w:rsidR="00687645">
        <w:rPr>
          <w:rFonts w:cs="David" w:hint="cs"/>
          <w:rtl/>
          <w:lang w:eastAsia="en-US"/>
        </w:rPr>
        <w:t xml:space="preserve">כיום </w:t>
      </w:r>
      <w:r w:rsidR="001B5676">
        <w:rPr>
          <w:rFonts w:cs="David" w:hint="cs"/>
          <w:rtl/>
          <w:lang w:eastAsia="en-US"/>
        </w:rPr>
        <w:t>חלק נכבד מבעלי מניות המיעוט בתאגידים רבים במשק</w:t>
      </w:r>
      <w:r w:rsidR="001B5676">
        <w:rPr>
          <w:rFonts w:cs="David"/>
          <w:rtl/>
          <w:lang w:eastAsia="en-US"/>
        </w:rPr>
        <w:t>.</w:t>
      </w:r>
      <w:r w:rsidR="001B5676">
        <w:rPr>
          <w:rStyle w:val="FootnoteReference"/>
          <w:rtl/>
          <w:lang w:eastAsia="en-US"/>
        </w:rPr>
        <w:footnoteReference w:id="6"/>
      </w:r>
    </w:p>
    <w:p w:rsidR="00687645" w:rsidRDefault="003A7C49" w:rsidP="0038703C">
      <w:pPr>
        <w:spacing w:after="240" w:line="360" w:lineRule="auto"/>
        <w:ind w:left="-58"/>
        <w:jc w:val="both"/>
        <w:rPr>
          <w:rFonts w:cs="David" w:hint="cs"/>
          <w:rtl/>
          <w:lang w:eastAsia="en-US"/>
        </w:rPr>
      </w:pPr>
      <w:r>
        <w:rPr>
          <w:rFonts w:cs="David"/>
          <w:rtl/>
          <w:lang w:eastAsia="en-US"/>
        </w:rPr>
        <w:t>בהשוואה למשקיעי מיעוט אחרים,</w:t>
      </w:r>
      <w:r>
        <w:rPr>
          <w:rFonts w:cs="David" w:hint="cs"/>
          <w:rtl/>
          <w:lang w:eastAsia="en-US"/>
        </w:rPr>
        <w:t xml:space="preserve"> </w:t>
      </w:r>
      <w:r>
        <w:rPr>
          <w:rFonts w:cs="David"/>
          <w:rtl/>
          <w:lang w:eastAsia="en-US"/>
        </w:rPr>
        <w:t xml:space="preserve">לגופים </w:t>
      </w:r>
      <w:r w:rsidRPr="009524E1">
        <w:rPr>
          <w:rFonts w:cs="David"/>
          <w:rtl/>
          <w:lang w:eastAsia="en-US"/>
        </w:rPr>
        <w:t xml:space="preserve">המוסדיים </w:t>
      </w:r>
      <w:r>
        <w:rPr>
          <w:rFonts w:cs="David" w:hint="cs"/>
          <w:rtl/>
          <w:lang w:eastAsia="en-US"/>
        </w:rPr>
        <w:t xml:space="preserve">הגדולים </w:t>
      </w:r>
      <w:r>
        <w:rPr>
          <w:rFonts w:cs="David"/>
          <w:rtl/>
          <w:lang w:eastAsia="en-US"/>
        </w:rPr>
        <w:t xml:space="preserve">פוטנציאל לפיקוח אפקטיבי יותר על החלטותיהן של חברות ציבוריות. בידי המשקיעים </w:t>
      </w:r>
      <w:r w:rsidRPr="009524E1">
        <w:rPr>
          <w:rFonts w:cs="David"/>
          <w:rtl/>
          <w:lang w:eastAsia="en-US"/>
        </w:rPr>
        <w:t>המוסדיים</w:t>
      </w:r>
      <w:r w:rsidRPr="009524E1">
        <w:rPr>
          <w:rFonts w:cs="David" w:hint="cs"/>
          <w:rtl/>
          <w:lang w:eastAsia="en-US"/>
        </w:rPr>
        <w:t xml:space="preserve"> </w:t>
      </w:r>
      <w:r>
        <w:rPr>
          <w:rFonts w:cs="David" w:hint="cs"/>
          <w:rtl/>
          <w:lang w:eastAsia="en-US"/>
        </w:rPr>
        <w:t xml:space="preserve">מומחיות </w:t>
      </w:r>
      <w:r w:rsidRPr="009524E1">
        <w:rPr>
          <w:rFonts w:cs="David"/>
          <w:rtl/>
          <w:lang w:eastAsia="en-US"/>
        </w:rPr>
        <w:t>מקצועית</w:t>
      </w:r>
      <w:r>
        <w:rPr>
          <w:rFonts w:cs="David"/>
          <w:rtl/>
          <w:lang w:eastAsia="en-US"/>
        </w:rPr>
        <w:t xml:space="preserve"> ונגישות גבוהה למשאבים ומערכות</w:t>
      </w:r>
      <w:r w:rsidR="00A51C18">
        <w:rPr>
          <w:rFonts w:cs="David" w:hint="cs"/>
          <w:rtl/>
          <w:lang w:eastAsia="en-US"/>
        </w:rPr>
        <w:t xml:space="preserve"> מידע</w:t>
      </w:r>
      <w:r w:rsidR="00E7175B">
        <w:rPr>
          <w:rFonts w:cs="David" w:hint="cs"/>
          <w:rtl/>
          <w:lang w:eastAsia="en-US"/>
        </w:rPr>
        <w:t>, ה</w:t>
      </w:r>
      <w:r>
        <w:rPr>
          <w:rFonts w:cs="David"/>
          <w:rtl/>
          <w:lang w:eastAsia="en-US"/>
        </w:rPr>
        <w:t>מקל</w:t>
      </w:r>
      <w:r w:rsidR="00E7175B">
        <w:rPr>
          <w:rFonts w:cs="David" w:hint="cs"/>
          <w:rtl/>
          <w:lang w:eastAsia="en-US"/>
        </w:rPr>
        <w:t>ות</w:t>
      </w:r>
      <w:r>
        <w:rPr>
          <w:rFonts w:cs="David"/>
          <w:rtl/>
          <w:lang w:eastAsia="en-US"/>
        </w:rPr>
        <w:t xml:space="preserve"> על</w:t>
      </w:r>
      <w:r w:rsidR="001B5676">
        <w:rPr>
          <w:rFonts w:cs="David" w:hint="cs"/>
          <w:rtl/>
          <w:lang w:eastAsia="en-US"/>
        </w:rPr>
        <w:t>יהם</w:t>
      </w:r>
      <w:r>
        <w:rPr>
          <w:rFonts w:cs="David"/>
          <w:rtl/>
          <w:lang w:eastAsia="en-US"/>
        </w:rPr>
        <w:t xml:space="preserve"> </w:t>
      </w:r>
      <w:r>
        <w:rPr>
          <w:rFonts w:cs="David" w:hint="cs"/>
          <w:rtl/>
          <w:lang w:eastAsia="en-US"/>
        </w:rPr>
        <w:t>ל</w:t>
      </w:r>
      <w:r>
        <w:rPr>
          <w:rFonts w:cs="David"/>
          <w:rtl/>
          <w:lang w:eastAsia="en-US"/>
        </w:rPr>
        <w:t xml:space="preserve">אסוף </w:t>
      </w:r>
      <w:r>
        <w:rPr>
          <w:rFonts w:cs="David" w:hint="cs"/>
          <w:rtl/>
          <w:lang w:eastAsia="en-US"/>
        </w:rPr>
        <w:t xml:space="preserve">את </w:t>
      </w:r>
      <w:r>
        <w:rPr>
          <w:rFonts w:cs="David"/>
          <w:rtl/>
          <w:lang w:eastAsia="en-US"/>
        </w:rPr>
        <w:t xml:space="preserve">המידע הנדרש </w:t>
      </w:r>
      <w:r>
        <w:rPr>
          <w:rFonts w:cs="David" w:hint="cs"/>
          <w:rtl/>
          <w:lang w:eastAsia="en-US"/>
        </w:rPr>
        <w:t>לצורך בקרה ופיקוח על התאגידים המוחזקים על ידם, לעבדו ולפעול</w:t>
      </w:r>
      <w:r>
        <w:rPr>
          <w:rFonts w:cs="David"/>
          <w:rtl/>
          <w:lang w:eastAsia="en-US"/>
        </w:rPr>
        <w:t xml:space="preserve"> על פיו.</w:t>
      </w:r>
      <w:r>
        <w:rPr>
          <w:rStyle w:val="FootnoteReference"/>
          <w:rtl/>
          <w:lang w:eastAsia="en-US"/>
        </w:rPr>
        <w:footnoteReference w:id="7"/>
      </w:r>
      <w:r>
        <w:rPr>
          <w:rFonts w:cs="David" w:hint="cs"/>
          <w:rtl/>
          <w:lang w:eastAsia="en-US"/>
        </w:rPr>
        <w:t xml:space="preserve"> </w:t>
      </w:r>
    </w:p>
    <w:p w:rsidR="00172BFA" w:rsidRDefault="008164CD" w:rsidP="00062686">
      <w:pPr>
        <w:spacing w:after="240" w:line="360" w:lineRule="auto"/>
        <w:ind w:left="-58"/>
        <w:jc w:val="both"/>
        <w:rPr>
          <w:rFonts w:cs="David" w:hint="cs"/>
          <w:rtl/>
          <w:lang w:eastAsia="en-US"/>
        </w:rPr>
      </w:pPr>
      <w:r w:rsidRPr="008164CD">
        <w:rPr>
          <w:rFonts w:cs="David"/>
          <w:rtl/>
          <w:lang w:eastAsia="en-US"/>
        </w:rPr>
        <w:t xml:space="preserve">משקיעים מוסדיים מחויבים </w:t>
      </w:r>
      <w:r w:rsidR="006E4B90">
        <w:rPr>
          <w:rFonts w:cs="David" w:hint="cs"/>
          <w:rtl/>
          <w:lang w:eastAsia="en-US"/>
        </w:rPr>
        <w:t xml:space="preserve">אמנם </w:t>
      </w:r>
      <w:r w:rsidRPr="008164CD">
        <w:rPr>
          <w:rFonts w:cs="David"/>
          <w:rtl/>
          <w:lang w:eastAsia="en-US"/>
        </w:rPr>
        <w:t xml:space="preserve">להשתתף ולהצביע </w:t>
      </w:r>
      <w:r w:rsidR="006E4B90">
        <w:rPr>
          <w:rFonts w:cs="David" w:hint="cs"/>
          <w:rtl/>
          <w:lang w:eastAsia="en-US"/>
        </w:rPr>
        <w:t>בתהליכי קבלת החלטות</w:t>
      </w:r>
      <w:r w:rsidR="008333A1">
        <w:rPr>
          <w:rFonts w:cs="David" w:hint="cs"/>
          <w:rtl/>
          <w:lang w:eastAsia="en-US"/>
        </w:rPr>
        <w:t xml:space="preserve"> מסוימים</w:t>
      </w:r>
      <w:r w:rsidR="006E4B90">
        <w:rPr>
          <w:rFonts w:cs="David" w:hint="cs"/>
          <w:rtl/>
          <w:lang w:eastAsia="en-US"/>
        </w:rPr>
        <w:t xml:space="preserve"> בתאגידים</w:t>
      </w:r>
      <w:r w:rsidR="00E92498">
        <w:rPr>
          <w:rFonts w:cs="David" w:hint="cs"/>
          <w:rtl/>
          <w:lang w:eastAsia="en-US"/>
        </w:rPr>
        <w:t>,</w:t>
      </w:r>
      <w:r w:rsidR="00093B5E">
        <w:rPr>
          <w:rStyle w:val="FootnoteReference"/>
          <w:rtl/>
          <w:lang w:eastAsia="en-US"/>
        </w:rPr>
        <w:footnoteReference w:id="8"/>
      </w:r>
      <w:r w:rsidRPr="008164CD">
        <w:rPr>
          <w:rFonts w:cs="David"/>
          <w:rtl/>
          <w:lang w:eastAsia="en-US"/>
        </w:rPr>
        <w:t xml:space="preserve"> </w:t>
      </w:r>
      <w:r w:rsidR="00E92498">
        <w:rPr>
          <w:rFonts w:cs="David" w:hint="cs"/>
          <w:rtl/>
          <w:lang w:eastAsia="en-US"/>
        </w:rPr>
        <w:t xml:space="preserve">אך </w:t>
      </w:r>
      <w:r w:rsidR="003A7C49">
        <w:rPr>
          <w:rFonts w:cs="David" w:hint="cs"/>
          <w:rtl/>
          <w:lang w:eastAsia="en-US"/>
        </w:rPr>
        <w:t>שיעור</w:t>
      </w:r>
      <w:r w:rsidR="00687645">
        <w:rPr>
          <w:rFonts w:cs="David" w:hint="cs"/>
          <w:rtl/>
          <w:lang w:eastAsia="en-US"/>
        </w:rPr>
        <w:t>י</w:t>
      </w:r>
      <w:r w:rsidR="003A7C49">
        <w:rPr>
          <w:rFonts w:cs="David" w:hint="cs"/>
          <w:rtl/>
          <w:lang w:eastAsia="en-US"/>
        </w:rPr>
        <w:t xml:space="preserve"> האחזקות הנמו</w:t>
      </w:r>
      <w:r w:rsidR="00E92498">
        <w:rPr>
          <w:rFonts w:cs="David" w:hint="cs"/>
          <w:rtl/>
          <w:lang w:eastAsia="en-US"/>
        </w:rPr>
        <w:t>כים</w:t>
      </w:r>
      <w:r w:rsidR="003A7C49">
        <w:rPr>
          <w:rFonts w:cs="David" w:hint="cs"/>
          <w:rtl/>
          <w:lang w:eastAsia="en-US"/>
        </w:rPr>
        <w:t xml:space="preserve"> ש</w:t>
      </w:r>
      <w:r w:rsidR="00E92498">
        <w:rPr>
          <w:rFonts w:cs="David" w:hint="cs"/>
          <w:rtl/>
          <w:lang w:eastAsia="en-US"/>
        </w:rPr>
        <w:t xml:space="preserve">בידיהם מגבילים עדיין את התמריץ </w:t>
      </w:r>
      <w:r w:rsidR="00172BFA">
        <w:rPr>
          <w:rFonts w:cs="David" w:hint="cs"/>
          <w:rtl/>
          <w:lang w:eastAsia="en-US"/>
        </w:rPr>
        <w:t>שלהם</w:t>
      </w:r>
      <w:r w:rsidR="00E92498">
        <w:rPr>
          <w:rFonts w:cs="David" w:hint="cs"/>
          <w:rtl/>
          <w:lang w:eastAsia="en-US"/>
        </w:rPr>
        <w:t xml:space="preserve"> להשקיע משאבים בפיקוח הדוק </w:t>
      </w:r>
      <w:r w:rsidR="006E4B90">
        <w:rPr>
          <w:rFonts w:cs="David" w:hint="cs"/>
          <w:rtl/>
          <w:lang w:eastAsia="en-US"/>
        </w:rPr>
        <w:t xml:space="preserve">יותר </w:t>
      </w:r>
      <w:r w:rsidR="00E92498">
        <w:rPr>
          <w:rFonts w:cs="David" w:hint="cs"/>
          <w:rtl/>
          <w:lang w:eastAsia="en-US"/>
        </w:rPr>
        <w:t>על התנהלות התאגיד.</w:t>
      </w:r>
      <w:r w:rsidR="003A7C49">
        <w:rPr>
          <w:rFonts w:cs="David" w:hint="cs"/>
          <w:rtl/>
          <w:lang w:eastAsia="en-US"/>
        </w:rPr>
        <w:t xml:space="preserve"> </w:t>
      </w:r>
    </w:p>
    <w:p w:rsidR="006E4B90" w:rsidRDefault="008333A1" w:rsidP="00B0519E">
      <w:pPr>
        <w:spacing w:after="240" w:line="360" w:lineRule="auto"/>
        <w:ind w:left="-58"/>
        <w:jc w:val="both"/>
        <w:rPr>
          <w:rFonts w:cs="David" w:hint="cs"/>
          <w:rtl/>
          <w:lang w:eastAsia="en-US"/>
        </w:rPr>
      </w:pPr>
      <w:r>
        <w:rPr>
          <w:rFonts w:cs="David" w:hint="cs"/>
          <w:rtl/>
          <w:lang w:eastAsia="en-US"/>
        </w:rPr>
        <w:t>הקלת האפשרות ל</w:t>
      </w:r>
      <w:r w:rsidRPr="0081463E">
        <w:rPr>
          <w:rFonts w:cs="David"/>
          <w:rtl/>
          <w:lang w:eastAsia="en-US"/>
        </w:rPr>
        <w:t>תיאו</w:t>
      </w:r>
      <w:r>
        <w:rPr>
          <w:rFonts w:cs="David"/>
          <w:rtl/>
          <w:lang w:eastAsia="en-US"/>
        </w:rPr>
        <w:t xml:space="preserve">ם עמדות </w:t>
      </w:r>
      <w:r>
        <w:rPr>
          <w:rFonts w:cs="David" w:hint="cs"/>
          <w:rtl/>
          <w:lang w:eastAsia="en-US"/>
        </w:rPr>
        <w:t>בין</w:t>
      </w:r>
      <w:r>
        <w:rPr>
          <w:rFonts w:cs="David"/>
          <w:rtl/>
          <w:lang w:eastAsia="en-US"/>
        </w:rPr>
        <w:t xml:space="preserve"> מספר גופים מוסדיים </w:t>
      </w:r>
      <w:r>
        <w:rPr>
          <w:rFonts w:cs="David" w:hint="cs"/>
          <w:rtl/>
          <w:lang w:eastAsia="en-US"/>
        </w:rPr>
        <w:t xml:space="preserve">עשויה לחזק את מעמדם של הגופים המוסדיים מול </w:t>
      </w:r>
      <w:r w:rsidRPr="0081463E">
        <w:rPr>
          <w:rFonts w:cs="David"/>
          <w:rtl/>
          <w:lang w:eastAsia="en-US"/>
        </w:rPr>
        <w:t xml:space="preserve">ההנהלה </w:t>
      </w:r>
      <w:r>
        <w:rPr>
          <w:rFonts w:cs="David" w:hint="cs"/>
          <w:rtl/>
          <w:lang w:eastAsia="en-US"/>
        </w:rPr>
        <w:t>ו</w:t>
      </w:r>
      <w:r>
        <w:rPr>
          <w:rFonts w:cs="David"/>
          <w:rtl/>
          <w:lang w:eastAsia="en-US"/>
        </w:rPr>
        <w:t>בעלי השליטה</w:t>
      </w:r>
      <w:r>
        <w:rPr>
          <w:rFonts w:cs="David" w:hint="cs"/>
          <w:rtl/>
          <w:lang w:eastAsia="en-US"/>
        </w:rPr>
        <w:t xml:space="preserve"> ואת האפשרות שאלו יתחשבו, בעת בחינת עניין מסוים העומד על הפרק,</w:t>
      </w:r>
      <w:r w:rsidRPr="0081463E">
        <w:rPr>
          <w:rFonts w:cs="David"/>
          <w:rtl/>
          <w:lang w:eastAsia="en-US"/>
        </w:rPr>
        <w:t xml:space="preserve"> בעמדת הגופים ה</w:t>
      </w:r>
      <w:r>
        <w:rPr>
          <w:rFonts w:cs="David" w:hint="cs"/>
          <w:rtl/>
          <w:lang w:eastAsia="en-US"/>
        </w:rPr>
        <w:t>ללו</w:t>
      </w:r>
      <w:r w:rsidRPr="0081463E">
        <w:rPr>
          <w:rFonts w:cs="David"/>
          <w:rtl/>
          <w:lang w:eastAsia="en-US"/>
        </w:rPr>
        <w:t xml:space="preserve"> </w:t>
      </w:r>
      <w:r w:rsidRPr="004836F6">
        <w:rPr>
          <w:rFonts w:cs="David"/>
          <w:rtl/>
          <w:lang w:eastAsia="en-US"/>
        </w:rPr>
        <w:t>כקבוצה</w:t>
      </w:r>
      <w:r>
        <w:rPr>
          <w:rFonts w:cs="David" w:hint="cs"/>
          <w:rtl/>
          <w:lang w:eastAsia="en-US"/>
        </w:rPr>
        <w:t xml:space="preserve">. הגברת יכולת ההשפעה של הגופים המוסדיים צפויה להגדיל את התמריץ שלהם להשקיע משאבים רבים יותר בקבלת מלוא המידע על התנהלות החברה ובמעורבות פעילה בקבלת החלטות עסקיות בתאגיד המוחזק גם במקום בו לא הוטלה חובת </w:t>
      </w:r>
      <w:r>
        <w:rPr>
          <w:rFonts w:cs="David" w:hint="cs"/>
          <w:rtl/>
          <w:lang w:eastAsia="en-US"/>
        </w:rPr>
        <w:lastRenderedPageBreak/>
        <w:t>השתתפות מכוח הדין</w:t>
      </w:r>
      <w:r>
        <w:rPr>
          <w:rFonts w:cs="David"/>
          <w:rtl/>
          <w:lang w:eastAsia="en-US"/>
        </w:rPr>
        <w:t>.</w:t>
      </w:r>
      <w:r w:rsidR="006E4B90">
        <w:rPr>
          <w:rFonts w:cs="David" w:hint="cs"/>
          <w:rtl/>
          <w:lang w:eastAsia="en-US"/>
        </w:rPr>
        <w:t xml:space="preserve"> </w:t>
      </w:r>
      <w:r>
        <w:rPr>
          <w:rFonts w:cs="David" w:hint="cs"/>
          <w:rtl/>
          <w:lang w:eastAsia="en-US"/>
        </w:rPr>
        <w:t xml:space="preserve">בנוסף, </w:t>
      </w:r>
      <w:r w:rsidR="00E92498">
        <w:rPr>
          <w:rFonts w:cs="David"/>
          <w:rtl/>
          <w:lang w:eastAsia="en-US"/>
        </w:rPr>
        <w:t>שיתוף פעולה בין משקיעים מוסדיים</w:t>
      </w:r>
      <w:r w:rsidR="006E4B90">
        <w:rPr>
          <w:rFonts w:cs="David" w:hint="cs"/>
          <w:rtl/>
          <w:lang w:eastAsia="en-US"/>
        </w:rPr>
        <w:t xml:space="preserve"> </w:t>
      </w:r>
      <w:r w:rsidR="00E92498">
        <w:rPr>
          <w:rFonts w:cs="David"/>
          <w:rtl/>
          <w:lang w:eastAsia="en-US"/>
        </w:rPr>
        <w:t xml:space="preserve">עשוי </w:t>
      </w:r>
      <w:r w:rsidR="00172BFA">
        <w:rPr>
          <w:rFonts w:cs="David" w:hint="cs"/>
          <w:rtl/>
          <w:lang w:eastAsia="en-US"/>
        </w:rPr>
        <w:t xml:space="preserve">אף </w:t>
      </w:r>
      <w:r w:rsidR="00E92498">
        <w:rPr>
          <w:rFonts w:cs="David"/>
          <w:rtl/>
          <w:lang w:eastAsia="en-US"/>
        </w:rPr>
        <w:t>לחלק את הנטל בין הגופים ול</w:t>
      </w:r>
      <w:r w:rsidR="00E92498">
        <w:rPr>
          <w:rFonts w:cs="David" w:hint="cs"/>
          <w:rtl/>
          <w:lang w:eastAsia="en-US"/>
        </w:rPr>
        <w:t>צמצם</w:t>
      </w:r>
      <w:r w:rsidR="00E92498">
        <w:rPr>
          <w:rFonts w:cs="David"/>
          <w:rtl/>
          <w:lang w:eastAsia="en-US"/>
        </w:rPr>
        <w:t xml:space="preserve"> </w:t>
      </w:r>
      <w:r w:rsidR="00E92498">
        <w:rPr>
          <w:rFonts w:cs="David" w:hint="cs"/>
          <w:rtl/>
          <w:lang w:eastAsia="en-US"/>
        </w:rPr>
        <w:t>את עלויות</w:t>
      </w:r>
      <w:r w:rsidR="00E92498">
        <w:rPr>
          <w:rFonts w:cs="David"/>
          <w:rtl/>
          <w:lang w:eastAsia="en-US"/>
        </w:rPr>
        <w:t xml:space="preserve"> </w:t>
      </w:r>
      <w:r w:rsidR="00E92498">
        <w:rPr>
          <w:rFonts w:cs="David" w:hint="cs"/>
          <w:rtl/>
          <w:lang w:eastAsia="en-US"/>
        </w:rPr>
        <w:t>הפיקוח</w:t>
      </w:r>
      <w:r w:rsidR="006E4B90">
        <w:rPr>
          <w:rFonts w:cs="David" w:hint="cs"/>
          <w:rtl/>
          <w:lang w:eastAsia="en-US"/>
        </w:rPr>
        <w:t xml:space="preserve">, מה שיגדיל עוד יותר את </w:t>
      </w:r>
      <w:r w:rsidR="00172BFA">
        <w:rPr>
          <w:rFonts w:cs="David" w:hint="cs"/>
          <w:rtl/>
          <w:lang w:eastAsia="en-US"/>
        </w:rPr>
        <w:t>אפקטיביות הפיקוח מצדם</w:t>
      </w:r>
      <w:r w:rsidR="006E4B90">
        <w:rPr>
          <w:rFonts w:cs="David" w:hint="cs"/>
          <w:rtl/>
          <w:lang w:eastAsia="en-US"/>
        </w:rPr>
        <w:t xml:space="preserve">. </w:t>
      </w:r>
    </w:p>
    <w:p w:rsidR="00593FB0" w:rsidRDefault="00593FB0" w:rsidP="00E77F44">
      <w:pPr>
        <w:spacing w:after="240" w:line="360" w:lineRule="auto"/>
        <w:ind w:left="-58"/>
        <w:jc w:val="both"/>
        <w:rPr>
          <w:rFonts w:cs="David" w:hint="cs"/>
          <w:lang w:eastAsia="en-US"/>
        </w:rPr>
      </w:pPr>
      <w:r>
        <w:rPr>
          <w:rFonts w:cs="David"/>
          <w:rtl/>
          <w:lang w:eastAsia="en-US"/>
        </w:rPr>
        <w:t xml:space="preserve">הגברת אפקטיביות הפיקוח </w:t>
      </w:r>
      <w:r w:rsidR="000F5300">
        <w:rPr>
          <w:rFonts w:cs="David" w:hint="cs"/>
          <w:rtl/>
          <w:lang w:eastAsia="en-US"/>
        </w:rPr>
        <w:t xml:space="preserve">מצד הגופים המוסדיים </w:t>
      </w:r>
      <w:r>
        <w:rPr>
          <w:rFonts w:cs="David"/>
          <w:rtl/>
          <w:lang w:eastAsia="en-US"/>
        </w:rPr>
        <w:t>עשויה</w:t>
      </w:r>
      <w:r w:rsidR="00071D31">
        <w:rPr>
          <w:rFonts w:cs="David" w:hint="cs"/>
          <w:rtl/>
          <w:lang w:eastAsia="en-US"/>
        </w:rPr>
        <w:t xml:space="preserve"> </w:t>
      </w:r>
      <w:r>
        <w:rPr>
          <w:rFonts w:cs="David"/>
          <w:rtl/>
          <w:lang w:eastAsia="en-US"/>
        </w:rPr>
        <w:t>ל</w:t>
      </w:r>
      <w:r>
        <w:rPr>
          <w:rFonts w:cs="David" w:hint="cs"/>
          <w:rtl/>
          <w:lang w:eastAsia="en-US"/>
        </w:rPr>
        <w:t xml:space="preserve">שפר את התנהלות </w:t>
      </w:r>
      <w:r w:rsidR="000F5300">
        <w:rPr>
          <w:rFonts w:cs="David" w:hint="cs"/>
          <w:rtl/>
          <w:lang w:eastAsia="en-US"/>
        </w:rPr>
        <w:t xml:space="preserve">התאגידים </w:t>
      </w:r>
      <w:r>
        <w:rPr>
          <w:rFonts w:cs="David" w:hint="cs"/>
          <w:rtl/>
          <w:lang w:eastAsia="en-US"/>
        </w:rPr>
        <w:t xml:space="preserve">ולהיטיב לא רק עם הציבור שכספו מנוהל על ידי אותם גופים מוסדיים אלא אף </w:t>
      </w:r>
      <w:r>
        <w:rPr>
          <w:rFonts w:cs="David"/>
          <w:rtl/>
          <w:lang w:eastAsia="en-US"/>
        </w:rPr>
        <w:t>לשפר את איכות ההגנה על משקיעים בשוק ההון בכללותו.</w:t>
      </w:r>
      <w:r>
        <w:rPr>
          <w:rStyle w:val="FootnoteReference"/>
          <w:rtl/>
          <w:lang w:eastAsia="en-US"/>
        </w:rPr>
        <w:footnoteReference w:id="9"/>
      </w:r>
      <w:r>
        <w:rPr>
          <w:rFonts w:cs="David" w:hint="cs"/>
          <w:rtl/>
          <w:lang w:eastAsia="en-US"/>
        </w:rPr>
        <w:t xml:space="preserve"> </w:t>
      </w:r>
      <w:r w:rsidR="0092719F">
        <w:rPr>
          <w:rFonts w:cs="David" w:hint="cs"/>
          <w:rtl/>
          <w:lang w:eastAsia="en-US"/>
        </w:rPr>
        <w:t>כמו כן, מאחר ש</w:t>
      </w:r>
      <w:r w:rsidR="00B134D1">
        <w:rPr>
          <w:rFonts w:cs="David"/>
          <w:rtl/>
          <w:lang w:eastAsia="en-US"/>
        </w:rPr>
        <w:t>עמדות</w:t>
      </w:r>
      <w:r w:rsidR="00B134D1">
        <w:rPr>
          <w:rFonts w:cs="David" w:hint="cs"/>
          <w:rtl/>
          <w:lang w:eastAsia="en-US"/>
        </w:rPr>
        <w:t>יהם</w:t>
      </w:r>
      <w:r w:rsidR="00B134D1">
        <w:rPr>
          <w:rFonts w:cs="David"/>
          <w:rtl/>
          <w:lang w:eastAsia="en-US"/>
        </w:rPr>
        <w:t xml:space="preserve"> </w:t>
      </w:r>
      <w:r w:rsidR="0092719F">
        <w:rPr>
          <w:rFonts w:cs="David" w:hint="cs"/>
          <w:rtl/>
          <w:lang w:eastAsia="en-US"/>
        </w:rPr>
        <w:t xml:space="preserve">של הגופים המוסדיים בעניינים כגון </w:t>
      </w:r>
      <w:r w:rsidR="00B134D1">
        <w:rPr>
          <w:rFonts w:cs="David" w:hint="cs"/>
          <w:rtl/>
          <w:lang w:eastAsia="en-US"/>
        </w:rPr>
        <w:t>אמות המידה ביחס לאיכות הממשל התאגידי, מדיניות ההצבעה ואופן ההצבעה,</w:t>
      </w:r>
      <w:r w:rsidR="00B134D1">
        <w:rPr>
          <w:rFonts w:cs="David"/>
          <w:rtl/>
          <w:lang w:eastAsia="en-US"/>
        </w:rPr>
        <w:t xml:space="preserve"> מתפרסמות</w:t>
      </w:r>
      <w:r w:rsidR="00B134D1">
        <w:rPr>
          <w:rFonts w:cs="David" w:hint="cs"/>
          <w:rtl/>
          <w:lang w:eastAsia="en-US"/>
        </w:rPr>
        <w:t xml:space="preserve"> ונשמעות על ידי מחזיקי המניות מן הציבור</w:t>
      </w:r>
      <w:r w:rsidR="0092719F">
        <w:rPr>
          <w:rFonts w:cs="David" w:hint="cs"/>
          <w:rtl/>
          <w:lang w:eastAsia="en-US"/>
        </w:rPr>
        <w:t>, הגברת אפקטיביות הפיקוח מצדם אף עשויה לתרום לפיקוח יעיל יותר גם מצד בעלי מניות מיעוט מבוזרים</w:t>
      </w:r>
      <w:r w:rsidR="00B134D1" w:rsidRPr="0081463E">
        <w:rPr>
          <w:rFonts w:cs="David"/>
          <w:rtl/>
          <w:lang w:eastAsia="en-US"/>
        </w:rPr>
        <w:t>.</w:t>
      </w:r>
      <w:r w:rsidR="00E77F44">
        <w:rPr>
          <w:rStyle w:val="FootnoteReference"/>
          <w:lang w:eastAsia="en-US"/>
        </w:rPr>
        <w:footnoteReference w:id="10"/>
      </w:r>
    </w:p>
    <w:p w:rsidR="00BB611B" w:rsidRDefault="00BB611B" w:rsidP="00BB611B">
      <w:pPr>
        <w:numPr>
          <w:ilvl w:val="0"/>
          <w:numId w:val="1"/>
        </w:numPr>
        <w:spacing w:before="240" w:after="240" w:line="360" w:lineRule="auto"/>
        <w:ind w:left="-58"/>
        <w:jc w:val="both"/>
        <w:rPr>
          <w:rFonts w:cs="David" w:hint="cs"/>
          <w:b/>
          <w:bCs/>
          <w:lang w:eastAsia="en-US"/>
        </w:rPr>
      </w:pPr>
      <w:r>
        <w:rPr>
          <w:rFonts w:cs="David" w:hint="cs"/>
          <w:b/>
          <w:bCs/>
          <w:rtl/>
          <w:lang w:eastAsia="en-US"/>
        </w:rPr>
        <w:t>שיתופי פעולה בין משקיעים מוסדיים בניהול תאגיד שאינם עולים לכדי הסדר כובל</w:t>
      </w:r>
    </w:p>
    <w:p w:rsidR="004C54BA" w:rsidRDefault="00EB47CA" w:rsidP="00ED2705">
      <w:pPr>
        <w:spacing w:after="240" w:line="360" w:lineRule="auto"/>
        <w:ind w:left="-58"/>
        <w:jc w:val="both"/>
        <w:rPr>
          <w:rFonts w:cs="David" w:hint="cs"/>
          <w:highlight w:val="yellow"/>
          <w:rtl/>
          <w:lang w:eastAsia="en-US"/>
        </w:rPr>
      </w:pPr>
      <w:r>
        <w:rPr>
          <w:rFonts w:cs="David" w:hint="cs"/>
          <w:rtl/>
        </w:rPr>
        <w:t xml:space="preserve">ככלל, </w:t>
      </w:r>
      <w:r>
        <w:rPr>
          <w:rFonts w:cs="David"/>
          <w:rtl/>
        </w:rPr>
        <w:t xml:space="preserve">המשקיעים המוסדיים בישראל מתחרים זה בזה על ליבו וכיסו של ציבור המשקיעים. </w:t>
      </w:r>
      <w:r>
        <w:rPr>
          <w:rFonts w:cs="David" w:hint="cs"/>
          <w:rtl/>
          <w:lang w:eastAsia="en-US"/>
        </w:rPr>
        <w:t>ציבור המשקיעים בוחר את ה</w:t>
      </w:r>
      <w:r w:rsidR="000F5300">
        <w:rPr>
          <w:rFonts w:cs="David" w:hint="cs"/>
          <w:rtl/>
          <w:lang w:eastAsia="en-US"/>
        </w:rPr>
        <w:t>גוף ה</w:t>
      </w:r>
      <w:r>
        <w:rPr>
          <w:rFonts w:cs="David" w:hint="cs"/>
          <w:rtl/>
          <w:lang w:eastAsia="en-US"/>
        </w:rPr>
        <w:t xml:space="preserve">מוסדי שבו ישקיע בין היתר על פי </w:t>
      </w:r>
      <w:r>
        <w:rPr>
          <w:rFonts w:cs="David"/>
          <w:rtl/>
          <w:lang w:eastAsia="en-US"/>
        </w:rPr>
        <w:t xml:space="preserve">התשואה הצפויה </w:t>
      </w:r>
      <w:r>
        <w:rPr>
          <w:rFonts w:cs="David" w:hint="cs"/>
          <w:rtl/>
          <w:lang w:eastAsia="en-US"/>
        </w:rPr>
        <w:t>ל</w:t>
      </w:r>
      <w:r>
        <w:rPr>
          <w:rFonts w:cs="David"/>
          <w:rtl/>
          <w:lang w:eastAsia="en-US"/>
        </w:rPr>
        <w:t>פי אסטרטגיית ההשקעה</w:t>
      </w:r>
      <w:r>
        <w:rPr>
          <w:rFonts w:cs="David" w:hint="cs"/>
          <w:rtl/>
          <w:lang w:eastAsia="en-US"/>
        </w:rPr>
        <w:t xml:space="preserve"> ש</w:t>
      </w:r>
      <w:r w:rsidR="00C35865">
        <w:rPr>
          <w:rFonts w:cs="David" w:hint="cs"/>
          <w:rtl/>
          <w:lang w:eastAsia="en-US"/>
        </w:rPr>
        <w:t xml:space="preserve">הגוף </w:t>
      </w:r>
      <w:r>
        <w:rPr>
          <w:rFonts w:cs="David" w:hint="cs"/>
          <w:rtl/>
          <w:lang w:eastAsia="en-US"/>
        </w:rPr>
        <w:t>המוסדי מציע</w:t>
      </w:r>
      <w:r>
        <w:rPr>
          <w:rFonts w:cs="David"/>
          <w:rtl/>
          <w:lang w:eastAsia="en-US"/>
        </w:rPr>
        <w:t xml:space="preserve">, המוצרים הפיננסים </w:t>
      </w:r>
      <w:r>
        <w:rPr>
          <w:rFonts w:cs="David" w:hint="cs"/>
          <w:rtl/>
          <w:lang w:eastAsia="en-US"/>
        </w:rPr>
        <w:t>המוצעים</w:t>
      </w:r>
      <w:r w:rsidR="000F5300">
        <w:rPr>
          <w:rFonts w:cs="David" w:hint="cs"/>
          <w:rtl/>
          <w:lang w:eastAsia="en-US"/>
        </w:rPr>
        <w:t xml:space="preserve"> על ידו</w:t>
      </w:r>
      <w:r>
        <w:rPr>
          <w:rFonts w:cs="David"/>
          <w:rtl/>
          <w:lang w:eastAsia="en-US"/>
        </w:rPr>
        <w:t xml:space="preserve"> ו</w:t>
      </w:r>
      <w:r w:rsidR="000F5300">
        <w:rPr>
          <w:rFonts w:cs="David" w:hint="cs"/>
          <w:rtl/>
          <w:lang w:eastAsia="en-US"/>
        </w:rPr>
        <w:t>ביצועי</w:t>
      </w:r>
      <w:r>
        <w:rPr>
          <w:rFonts w:cs="David"/>
          <w:rtl/>
          <w:lang w:eastAsia="en-US"/>
        </w:rPr>
        <w:t xml:space="preserve"> עבר</w:t>
      </w:r>
      <w:r w:rsidR="000F5300">
        <w:rPr>
          <w:rFonts w:cs="David" w:hint="cs"/>
          <w:rtl/>
          <w:lang w:eastAsia="en-US"/>
        </w:rPr>
        <w:t xml:space="preserve"> של אותו גוף</w:t>
      </w:r>
      <w:r w:rsidRPr="00665A2B">
        <w:rPr>
          <w:rFonts w:cs="David" w:hint="cs"/>
          <w:rtl/>
          <w:lang w:eastAsia="en-US"/>
        </w:rPr>
        <w:t>.</w:t>
      </w:r>
      <w:r w:rsidR="00AC5C31" w:rsidRPr="00665A2B">
        <w:rPr>
          <w:rFonts w:cs="David" w:hint="cs"/>
          <w:rtl/>
          <w:lang w:eastAsia="en-US"/>
        </w:rPr>
        <w:t xml:space="preserve"> </w:t>
      </w:r>
      <w:r w:rsidR="007447C7" w:rsidRPr="00665A2B">
        <w:rPr>
          <w:rFonts w:cs="David" w:hint="cs"/>
          <w:rtl/>
          <w:lang w:eastAsia="en-US"/>
        </w:rPr>
        <w:t xml:space="preserve"> </w:t>
      </w:r>
      <w:r w:rsidR="00ED2705">
        <w:rPr>
          <w:rFonts w:cs="David" w:hint="cs"/>
          <w:rtl/>
          <w:lang w:eastAsia="en-US"/>
        </w:rPr>
        <w:t>יחד עם זאת,</w:t>
      </w:r>
      <w:r w:rsidR="007447C7" w:rsidRPr="00AC5C31">
        <w:rPr>
          <w:rFonts w:cs="David" w:hint="cs"/>
          <w:rtl/>
          <w:lang w:eastAsia="en-US"/>
        </w:rPr>
        <w:t xml:space="preserve"> ברגע ש</w:t>
      </w:r>
      <w:r w:rsidR="00AC5C31">
        <w:rPr>
          <w:rFonts w:cs="David" w:hint="cs"/>
          <w:rtl/>
          <w:lang w:eastAsia="en-US"/>
        </w:rPr>
        <w:t xml:space="preserve">החליטו </w:t>
      </w:r>
      <w:r w:rsidR="007447C7" w:rsidRPr="00AC5C31">
        <w:rPr>
          <w:rFonts w:cs="David" w:hint="cs"/>
          <w:rtl/>
          <w:lang w:eastAsia="en-US"/>
        </w:rPr>
        <w:t xml:space="preserve">גופים מוסדיים שונים להשקיע </w:t>
      </w:r>
      <w:r w:rsidR="00AC5C31">
        <w:rPr>
          <w:rFonts w:cs="David" w:hint="cs"/>
          <w:rtl/>
          <w:lang w:eastAsia="en-US"/>
        </w:rPr>
        <w:t xml:space="preserve">כספים מנוהלים </w:t>
      </w:r>
      <w:r w:rsidR="007447C7" w:rsidRPr="00AC5C31">
        <w:rPr>
          <w:rFonts w:cs="David" w:hint="cs"/>
          <w:rtl/>
          <w:lang w:eastAsia="en-US"/>
        </w:rPr>
        <w:t xml:space="preserve">בחברה </w:t>
      </w:r>
      <w:r w:rsidR="00AC5C31">
        <w:rPr>
          <w:rFonts w:cs="David" w:hint="cs"/>
          <w:rtl/>
          <w:lang w:eastAsia="en-US"/>
        </w:rPr>
        <w:t>נתונה</w:t>
      </w:r>
      <w:r w:rsidR="007447C7" w:rsidRPr="00AC5C31">
        <w:rPr>
          <w:rFonts w:cs="David" w:hint="cs"/>
          <w:rtl/>
          <w:lang w:eastAsia="en-US"/>
        </w:rPr>
        <w:t xml:space="preserve">, אין ביניהם יחסי יריבות </w:t>
      </w:r>
      <w:r w:rsidR="00AC5C31">
        <w:rPr>
          <w:rFonts w:cs="David" w:hint="cs"/>
          <w:rtl/>
          <w:lang w:eastAsia="en-US"/>
        </w:rPr>
        <w:t xml:space="preserve">בנוגע לאותה חברה </w:t>
      </w:r>
      <w:r w:rsidR="00AC5C31" w:rsidRPr="00AC5C31">
        <w:rPr>
          <w:rFonts w:cs="David" w:hint="cs"/>
          <w:rtl/>
          <w:lang w:eastAsia="en-US"/>
        </w:rPr>
        <w:t xml:space="preserve">אלא אינטרס משותף </w:t>
      </w:r>
      <w:r w:rsidR="00AC5C31">
        <w:rPr>
          <w:rFonts w:cs="David" w:hint="cs"/>
          <w:rtl/>
          <w:lang w:eastAsia="en-US"/>
        </w:rPr>
        <w:t>לשפר את ביצועיה באופן מיטבי.</w:t>
      </w:r>
    </w:p>
    <w:p w:rsidR="00936315" w:rsidRDefault="00BB611B" w:rsidP="00987A4F">
      <w:pPr>
        <w:spacing w:after="240" w:line="360" w:lineRule="auto"/>
        <w:ind w:left="-58"/>
        <w:jc w:val="both"/>
        <w:rPr>
          <w:rFonts w:cs="David" w:hint="cs"/>
          <w:rtl/>
          <w:lang w:eastAsia="en-US"/>
        </w:rPr>
      </w:pPr>
      <w:r w:rsidRPr="00EF5F5F">
        <w:rPr>
          <w:rFonts w:cs="David"/>
          <w:rtl/>
          <w:lang w:eastAsia="en-US"/>
        </w:rPr>
        <w:t>שיתוף הפעולה</w:t>
      </w:r>
      <w:r>
        <w:rPr>
          <w:rFonts w:cs="David" w:hint="cs"/>
          <w:rtl/>
          <w:lang w:eastAsia="en-US"/>
        </w:rPr>
        <w:t xml:space="preserve"> החוסה תחת גילוי דעת זה</w:t>
      </w:r>
      <w:r w:rsidRPr="00EF5F5F">
        <w:rPr>
          <w:rFonts w:cs="David"/>
          <w:rtl/>
          <w:lang w:eastAsia="en-US"/>
        </w:rPr>
        <w:t xml:space="preserve"> </w:t>
      </w:r>
      <w:r w:rsidR="00663283">
        <w:rPr>
          <w:rFonts w:cs="David" w:hint="cs"/>
          <w:rtl/>
          <w:lang w:eastAsia="en-US"/>
        </w:rPr>
        <w:t xml:space="preserve">הוא </w:t>
      </w:r>
      <w:r w:rsidR="00936315">
        <w:rPr>
          <w:rFonts w:cs="David" w:hint="cs"/>
          <w:rtl/>
          <w:lang w:eastAsia="en-US"/>
        </w:rPr>
        <w:t>שיתוף פעולה בין גופים מוסדיים, המחזיקים במניות בתאגיד מסוים, ושנוגע לאופן הצבעתם באסיפה הכללית של חברה או באורגן מקביל בתאגיד מסוג אחר. דהיינו, מדובר בשיתוף פעולה המוגבל ל</w:t>
      </w:r>
      <w:r w:rsidRPr="00EF5F5F">
        <w:rPr>
          <w:rFonts w:cs="David"/>
          <w:rtl/>
          <w:lang w:eastAsia="en-US"/>
        </w:rPr>
        <w:t>עניינים ש</w:t>
      </w:r>
      <w:r w:rsidR="00663283">
        <w:rPr>
          <w:rFonts w:cs="David" w:hint="cs"/>
          <w:rtl/>
          <w:lang w:eastAsia="en-US"/>
        </w:rPr>
        <w:t>אינם</w:t>
      </w:r>
      <w:r w:rsidRPr="00EF5F5F">
        <w:rPr>
          <w:rFonts w:cs="David"/>
          <w:rtl/>
          <w:lang w:eastAsia="en-US"/>
        </w:rPr>
        <w:t xml:space="preserve"> מצויים </w:t>
      </w:r>
      <w:r w:rsidR="004C03DB">
        <w:rPr>
          <w:rFonts w:cs="David" w:hint="cs"/>
          <w:rtl/>
          <w:lang w:eastAsia="en-US"/>
        </w:rPr>
        <w:t>בתחום</w:t>
      </w:r>
      <w:r w:rsidRPr="00EF5F5F">
        <w:rPr>
          <w:rFonts w:cs="David"/>
          <w:rtl/>
          <w:lang w:eastAsia="en-US"/>
        </w:rPr>
        <w:t xml:space="preserve"> התחרות בין </w:t>
      </w:r>
      <w:r>
        <w:rPr>
          <w:rFonts w:cs="David" w:hint="cs"/>
          <w:rtl/>
          <w:lang w:eastAsia="en-US"/>
        </w:rPr>
        <w:t>המשקיעים המוסדיים</w:t>
      </w:r>
      <w:r w:rsidR="00663283">
        <w:rPr>
          <w:rFonts w:cs="David" w:hint="cs"/>
          <w:rtl/>
          <w:lang w:eastAsia="en-US"/>
        </w:rPr>
        <w:t>.</w:t>
      </w:r>
    </w:p>
    <w:p w:rsidR="006C1B05" w:rsidRDefault="001020F1" w:rsidP="001020F1">
      <w:pPr>
        <w:spacing w:after="240" w:line="360" w:lineRule="auto"/>
        <w:ind w:left="-58"/>
        <w:jc w:val="both"/>
        <w:rPr>
          <w:rFonts w:cs="David" w:hint="cs"/>
          <w:rtl/>
          <w:lang w:eastAsia="en-US"/>
        </w:rPr>
      </w:pPr>
      <w:r w:rsidRPr="001020F1">
        <w:rPr>
          <w:rFonts w:cs="David"/>
          <w:rtl/>
          <w:lang w:eastAsia="en-US"/>
        </w:rPr>
        <w:lastRenderedPageBreak/>
        <w:t>יובהר כי שיתופי פעולה שאינם עומדים בכללי גילוי הדעת ומהווים הסדר כובל, עשויים עדיין להיות מותרים על פי פטור סוג.</w:t>
      </w:r>
      <w:r>
        <w:rPr>
          <w:rStyle w:val="FootnoteReference"/>
          <w:rtl/>
          <w:lang w:eastAsia="en-US"/>
        </w:rPr>
        <w:footnoteReference w:id="11"/>
      </w:r>
      <w:r>
        <w:rPr>
          <w:rFonts w:cs="David" w:hint="cs"/>
          <w:rtl/>
          <w:lang w:eastAsia="en-US"/>
        </w:rPr>
        <w:t xml:space="preserve"> </w:t>
      </w:r>
      <w:r w:rsidR="00C7116A">
        <w:rPr>
          <w:rFonts w:cs="David" w:hint="cs"/>
          <w:rtl/>
          <w:lang w:eastAsia="en-US"/>
        </w:rPr>
        <w:t>עמדת הרשות היא ש</w:t>
      </w:r>
      <w:r w:rsidR="00936315">
        <w:rPr>
          <w:rFonts w:cs="David" w:hint="cs"/>
          <w:rtl/>
          <w:lang w:eastAsia="en-US"/>
        </w:rPr>
        <w:t xml:space="preserve">שיתוף פעולה כאמור בין גופים מוסדיים העומד בכל אמות המידה שלהלן לא </w:t>
      </w:r>
      <w:r w:rsidR="00AC5C31">
        <w:rPr>
          <w:rFonts w:cs="David" w:hint="cs"/>
          <w:rtl/>
          <w:lang w:eastAsia="en-US"/>
        </w:rPr>
        <w:t>י</w:t>
      </w:r>
      <w:r w:rsidR="00936315">
        <w:rPr>
          <w:rFonts w:cs="David" w:hint="cs"/>
          <w:rtl/>
          <w:lang w:eastAsia="en-US"/>
        </w:rPr>
        <w:t>יחשב כהסדר כובל:</w:t>
      </w:r>
      <w:r w:rsidR="00D558C1" w:rsidRPr="00D558C1">
        <w:rPr>
          <w:rStyle w:val="FootnoteReference"/>
          <w:rtl/>
          <w:lang w:eastAsia="en-US"/>
        </w:rPr>
        <w:t xml:space="preserve"> </w:t>
      </w:r>
    </w:p>
    <w:p w:rsidR="00936315" w:rsidRDefault="00936315" w:rsidP="00AC5C31">
      <w:pPr>
        <w:spacing w:after="240" w:line="360" w:lineRule="auto"/>
        <w:ind w:left="-58"/>
        <w:jc w:val="both"/>
        <w:rPr>
          <w:rFonts w:cs="David" w:hint="cs"/>
          <w:rtl/>
          <w:lang w:eastAsia="en-US"/>
        </w:rPr>
      </w:pPr>
    </w:p>
    <w:p w:rsidR="00936315" w:rsidRPr="004D0AD7" w:rsidRDefault="00663283" w:rsidP="00FA2BB2">
      <w:pPr>
        <w:numPr>
          <w:ilvl w:val="0"/>
          <w:numId w:val="15"/>
        </w:numPr>
        <w:spacing w:after="240" w:line="360" w:lineRule="auto"/>
        <w:jc w:val="both"/>
        <w:rPr>
          <w:rFonts w:cs="David" w:hint="cs"/>
          <w:b/>
          <w:bCs/>
          <w:lang w:eastAsia="en-US"/>
        </w:rPr>
      </w:pPr>
      <w:r w:rsidRPr="004D0AD7">
        <w:rPr>
          <w:rFonts w:cs="David" w:hint="cs"/>
          <w:b/>
          <w:bCs/>
          <w:rtl/>
          <w:lang w:eastAsia="en-US"/>
        </w:rPr>
        <w:t xml:space="preserve">שיתוף פעולה </w:t>
      </w:r>
      <w:r w:rsidR="00B0519E">
        <w:rPr>
          <w:rFonts w:cs="David" w:hint="cs"/>
          <w:b/>
          <w:bCs/>
          <w:rtl/>
          <w:lang w:eastAsia="en-US"/>
        </w:rPr>
        <w:t>נקודתי</w:t>
      </w:r>
      <w:r w:rsidR="00BB611B" w:rsidRPr="004D0AD7">
        <w:rPr>
          <w:rFonts w:cs="David" w:hint="cs"/>
          <w:b/>
          <w:bCs/>
          <w:rtl/>
          <w:lang w:eastAsia="en-US"/>
        </w:rPr>
        <w:t xml:space="preserve"> </w:t>
      </w:r>
      <w:r w:rsidR="00FA2BB2">
        <w:rPr>
          <w:rFonts w:cs="David" w:hint="cs"/>
          <w:b/>
          <w:bCs/>
          <w:rtl/>
          <w:lang w:eastAsia="en-US"/>
        </w:rPr>
        <w:t xml:space="preserve">המתמקד </w:t>
      </w:r>
      <w:r w:rsidRPr="004D0AD7">
        <w:rPr>
          <w:rFonts w:cs="David" w:hint="cs"/>
          <w:b/>
          <w:bCs/>
          <w:rtl/>
          <w:lang w:eastAsia="en-US"/>
        </w:rPr>
        <w:t>ב</w:t>
      </w:r>
      <w:r w:rsidR="00BB611B" w:rsidRPr="004D0AD7">
        <w:rPr>
          <w:rFonts w:cs="David" w:hint="cs"/>
          <w:b/>
          <w:bCs/>
          <w:rtl/>
          <w:lang w:eastAsia="en-US"/>
        </w:rPr>
        <w:t xml:space="preserve">תאגיד </w:t>
      </w:r>
      <w:r w:rsidRPr="004D0AD7">
        <w:rPr>
          <w:rFonts w:cs="David" w:hint="cs"/>
          <w:b/>
          <w:bCs/>
          <w:rtl/>
          <w:lang w:eastAsia="en-US"/>
        </w:rPr>
        <w:t>קונק</w:t>
      </w:r>
      <w:r w:rsidR="00936315" w:rsidRPr="004D0AD7">
        <w:rPr>
          <w:rFonts w:cs="David" w:hint="cs"/>
          <w:b/>
          <w:bCs/>
          <w:rtl/>
          <w:lang w:eastAsia="en-US"/>
        </w:rPr>
        <w:t>ר</w:t>
      </w:r>
      <w:r w:rsidRPr="004D0AD7">
        <w:rPr>
          <w:rFonts w:cs="David" w:hint="cs"/>
          <w:b/>
          <w:bCs/>
          <w:rtl/>
          <w:lang w:eastAsia="en-US"/>
        </w:rPr>
        <w:t>טי</w:t>
      </w:r>
      <w:r w:rsidR="00936315" w:rsidRPr="004D0AD7">
        <w:rPr>
          <w:rFonts w:cs="David" w:hint="cs"/>
          <w:b/>
          <w:bCs/>
          <w:rtl/>
          <w:lang w:eastAsia="en-US"/>
        </w:rPr>
        <w:t xml:space="preserve"> ובעניין קונקרטי שעל הפרק</w:t>
      </w:r>
    </w:p>
    <w:p w:rsidR="00D558C1" w:rsidRDefault="00745BEF" w:rsidP="00760F6E">
      <w:pPr>
        <w:spacing w:after="240" w:line="360" w:lineRule="auto"/>
        <w:ind w:left="-58"/>
        <w:jc w:val="both"/>
        <w:rPr>
          <w:rFonts w:cs="David"/>
          <w:rtl/>
          <w:lang w:eastAsia="en-US"/>
        </w:rPr>
      </w:pPr>
      <w:r>
        <w:rPr>
          <w:rFonts w:cs="David" w:hint="cs"/>
          <w:rtl/>
          <w:lang w:eastAsia="en-US"/>
        </w:rPr>
        <w:t xml:space="preserve">גילוי דעת זה יחול רק במקרים </w:t>
      </w:r>
      <w:r w:rsidR="00A50924">
        <w:rPr>
          <w:rFonts w:cs="David" w:hint="cs"/>
          <w:rtl/>
          <w:lang w:eastAsia="en-US"/>
        </w:rPr>
        <w:t>ש</w:t>
      </w:r>
      <w:r>
        <w:rPr>
          <w:rFonts w:cs="David" w:hint="cs"/>
          <w:rtl/>
          <w:lang w:eastAsia="en-US"/>
        </w:rPr>
        <w:t>בהם מדובר ב</w:t>
      </w:r>
      <w:r w:rsidR="00B96683" w:rsidRPr="00B96683">
        <w:rPr>
          <w:rFonts w:cs="David"/>
          <w:rtl/>
          <w:lang w:eastAsia="en-US"/>
        </w:rPr>
        <w:t>שיתו</w:t>
      </w:r>
      <w:r>
        <w:rPr>
          <w:rFonts w:cs="David" w:hint="cs"/>
          <w:rtl/>
          <w:lang w:eastAsia="en-US"/>
        </w:rPr>
        <w:t>ף</w:t>
      </w:r>
      <w:r w:rsidR="00B96683" w:rsidRPr="00B96683">
        <w:rPr>
          <w:rFonts w:cs="David"/>
          <w:rtl/>
          <w:lang w:eastAsia="en-US"/>
        </w:rPr>
        <w:t xml:space="preserve"> פעולה </w:t>
      </w:r>
      <w:r w:rsidR="00B0519E">
        <w:rPr>
          <w:rFonts w:cs="David" w:hint="cs"/>
          <w:rtl/>
          <w:lang w:eastAsia="en-US"/>
        </w:rPr>
        <w:t>נקודתי</w:t>
      </w:r>
      <w:r>
        <w:rPr>
          <w:rFonts w:cs="David" w:hint="cs"/>
          <w:rtl/>
          <w:lang w:eastAsia="en-US"/>
        </w:rPr>
        <w:t>: שיתוף פעולה הנוגע לעניין קונקרטי העומד על הפרק בתאגיד מסוים.</w:t>
      </w:r>
      <w:r w:rsidR="00316AE6" w:rsidRPr="00316AE6">
        <w:rPr>
          <w:rStyle w:val="TableGrid"/>
          <w:rFonts w:cs="David"/>
          <w:vertAlign w:val="superscript"/>
          <w:rtl/>
        </w:rPr>
        <w:t xml:space="preserve"> </w:t>
      </w:r>
      <w:r w:rsidR="00D558C1" w:rsidRPr="006C1B05">
        <w:rPr>
          <w:rFonts w:cs="David"/>
          <w:rtl/>
          <w:lang w:eastAsia="en-US"/>
        </w:rPr>
        <w:t>שיתוף פעולה נקודתי יכול להתבצע על פני זמן, כל עוד ה</w:t>
      </w:r>
      <w:r w:rsidR="00D558C1">
        <w:rPr>
          <w:rFonts w:cs="David"/>
          <w:rtl/>
          <w:lang w:eastAsia="en-US"/>
        </w:rPr>
        <w:t>וא מוגבל לעניין מוגדר שעל הפרק.</w:t>
      </w:r>
      <w:r w:rsidR="0014301B">
        <w:rPr>
          <w:rFonts w:cs="David" w:hint="cs"/>
          <w:rtl/>
          <w:lang w:eastAsia="en-US"/>
        </w:rPr>
        <w:t xml:space="preserve"> כך למשל סוגיית מינויו של דירקטור ספציפי בחברה ציבורית עשויה לעלות לדיון באסיפת בעלי מניות מספר פעמים ותגרור דיון מתמשך בין הגופים המוסדיים לבין הנהלת החברה. העובדה כי הסוגיה הספציפית נדונה על פני זמן</w:t>
      </w:r>
      <w:r w:rsidR="00760F6E">
        <w:rPr>
          <w:rFonts w:cs="David" w:hint="cs"/>
          <w:rtl/>
          <w:lang w:eastAsia="en-US"/>
        </w:rPr>
        <w:t xml:space="preserve"> לכשעצמה</w:t>
      </w:r>
      <w:r w:rsidR="0014301B">
        <w:rPr>
          <w:rFonts w:cs="David" w:hint="cs"/>
          <w:rtl/>
          <w:lang w:eastAsia="en-US"/>
        </w:rPr>
        <w:t xml:space="preserve"> אינה הופכת את שיתוף הפעולה למתמשך</w:t>
      </w:r>
      <w:r w:rsidR="00DD4D4C">
        <w:rPr>
          <w:rFonts w:cs="David" w:hint="cs"/>
          <w:rtl/>
          <w:lang w:eastAsia="en-US"/>
        </w:rPr>
        <w:t xml:space="preserve">. </w:t>
      </w:r>
    </w:p>
    <w:p w:rsidR="00142C34" w:rsidRDefault="00615243" w:rsidP="00D558C1">
      <w:pPr>
        <w:spacing w:after="240" w:line="360" w:lineRule="auto"/>
        <w:ind w:left="-58"/>
        <w:jc w:val="both"/>
        <w:rPr>
          <w:rFonts w:cs="David" w:hint="cs"/>
          <w:rtl/>
          <w:lang w:eastAsia="en-US"/>
        </w:rPr>
      </w:pPr>
      <w:r>
        <w:rPr>
          <w:rFonts w:cs="David" w:hint="cs"/>
          <w:rtl/>
          <w:lang w:eastAsia="en-US"/>
        </w:rPr>
        <w:t>ככל ששיתוף הפעולה בין הצדדים יחרוג משיתוף פעולה נקודתי</w:t>
      </w:r>
      <w:r w:rsidR="00D558C1">
        <w:rPr>
          <w:rFonts w:cs="David" w:hint="cs"/>
          <w:rtl/>
          <w:lang w:eastAsia="en-US"/>
        </w:rPr>
        <w:t>,</w:t>
      </w:r>
      <w:r>
        <w:rPr>
          <w:rFonts w:cs="David" w:hint="cs"/>
          <w:rtl/>
          <w:lang w:eastAsia="en-US"/>
        </w:rPr>
        <w:t xml:space="preserve"> הדבר עשוי להעלות סוגיות תחרותיות נוספות</w:t>
      </w:r>
      <w:r w:rsidR="00142C34">
        <w:rPr>
          <w:rFonts w:cs="David" w:hint="cs"/>
          <w:rtl/>
          <w:lang w:eastAsia="en-US"/>
        </w:rPr>
        <w:t xml:space="preserve"> ולהשפיע </w:t>
      </w:r>
      <w:r w:rsidR="00090758">
        <w:rPr>
          <w:rFonts w:cs="David" w:hint="cs"/>
          <w:rtl/>
          <w:lang w:eastAsia="en-US"/>
        </w:rPr>
        <w:t xml:space="preserve">בדרכים שונות </w:t>
      </w:r>
      <w:r w:rsidR="00142C34">
        <w:rPr>
          <w:rFonts w:cs="David" w:hint="cs"/>
          <w:rtl/>
          <w:lang w:eastAsia="en-US"/>
        </w:rPr>
        <w:t>על התחרות בין הגופים המוסדיים לבין עצמם ובין החברות המוחזקות על ידיהם.</w:t>
      </w:r>
      <w:r w:rsidR="006C1B05" w:rsidRPr="006C1B05">
        <w:rPr>
          <w:rtl/>
        </w:rPr>
        <w:t xml:space="preserve"> </w:t>
      </w:r>
    </w:p>
    <w:p w:rsidR="00814752" w:rsidRPr="004D0AD7" w:rsidRDefault="00090758" w:rsidP="005572C6">
      <w:pPr>
        <w:spacing w:after="240" w:line="360" w:lineRule="auto"/>
        <w:ind w:left="-58"/>
        <w:jc w:val="both"/>
        <w:rPr>
          <w:rFonts w:cs="David" w:hint="cs"/>
          <w:rtl/>
          <w:lang w:eastAsia="en-US"/>
        </w:rPr>
      </w:pPr>
      <w:r>
        <w:rPr>
          <w:rFonts w:cs="David" w:hint="cs"/>
          <w:rtl/>
          <w:lang w:eastAsia="en-US"/>
        </w:rPr>
        <w:t xml:space="preserve">שיתוף פעולה עשוי להיחשב כמתמשך גם אם </w:t>
      </w:r>
      <w:r w:rsidR="009E2315">
        <w:rPr>
          <w:rFonts w:cs="David" w:hint="cs"/>
          <w:rtl/>
          <w:lang w:eastAsia="en-US"/>
        </w:rPr>
        <w:t xml:space="preserve">הצדדים לא קבעו זאת </w:t>
      </w:r>
      <w:r>
        <w:rPr>
          <w:rFonts w:cs="David" w:hint="cs"/>
          <w:rtl/>
          <w:lang w:eastAsia="en-US"/>
        </w:rPr>
        <w:t>במפורש</w:t>
      </w:r>
      <w:r w:rsidR="0034426F">
        <w:rPr>
          <w:rFonts w:cs="David" w:hint="cs"/>
          <w:rtl/>
          <w:lang w:eastAsia="en-US"/>
        </w:rPr>
        <w:t>.</w:t>
      </w:r>
      <w:r w:rsidR="009E2315">
        <w:rPr>
          <w:rFonts w:cs="David" w:hint="cs"/>
          <w:rtl/>
          <w:lang w:eastAsia="en-US"/>
        </w:rPr>
        <w:t xml:space="preserve"> מהותו של ההסדר </w:t>
      </w:r>
      <w:r w:rsidR="0034426F">
        <w:rPr>
          <w:rFonts w:cs="David" w:hint="cs"/>
          <w:rtl/>
          <w:lang w:eastAsia="en-US"/>
        </w:rPr>
        <w:t xml:space="preserve">כהסדר נקודתי </w:t>
      </w:r>
      <w:r w:rsidR="009E2315">
        <w:rPr>
          <w:rFonts w:cs="David" w:hint="cs"/>
          <w:rtl/>
          <w:lang w:eastAsia="en-US"/>
        </w:rPr>
        <w:t xml:space="preserve">תיבחן בשים לב </w:t>
      </w:r>
      <w:r w:rsidR="006A5964">
        <w:rPr>
          <w:rFonts w:cs="David" w:hint="cs"/>
          <w:rtl/>
          <w:lang w:eastAsia="en-US"/>
        </w:rPr>
        <w:t>להסכמות נוספות</w:t>
      </w:r>
      <w:r w:rsidR="00BA3AA4">
        <w:rPr>
          <w:rFonts w:cs="David" w:hint="cs"/>
          <w:rtl/>
          <w:lang w:eastAsia="en-US"/>
        </w:rPr>
        <w:t xml:space="preserve"> בין הצדדים</w:t>
      </w:r>
      <w:r w:rsidR="006A5964">
        <w:rPr>
          <w:rFonts w:cs="David" w:hint="cs"/>
          <w:rtl/>
          <w:lang w:eastAsia="en-US"/>
        </w:rPr>
        <w:t>, להבנות משתמעות בי</w:t>
      </w:r>
      <w:r w:rsidR="00BA3AA4">
        <w:rPr>
          <w:rFonts w:cs="David" w:hint="cs"/>
          <w:rtl/>
          <w:lang w:eastAsia="en-US"/>
        </w:rPr>
        <w:t xml:space="preserve">ניהם </w:t>
      </w:r>
      <w:r w:rsidR="006A5964">
        <w:rPr>
          <w:rFonts w:cs="David" w:hint="cs"/>
          <w:rtl/>
          <w:lang w:eastAsia="en-US"/>
        </w:rPr>
        <w:t xml:space="preserve">ולמצב הנוהג. </w:t>
      </w:r>
      <w:r>
        <w:rPr>
          <w:rFonts w:cs="David" w:hint="cs"/>
          <w:rtl/>
          <w:lang w:eastAsia="en-US"/>
        </w:rPr>
        <w:t>כך למשל קיומן של "</w:t>
      </w:r>
      <w:r w:rsidR="00814752" w:rsidRPr="00B96683">
        <w:rPr>
          <w:rFonts w:cs="David"/>
          <w:rtl/>
          <w:lang w:eastAsia="en-US"/>
        </w:rPr>
        <w:t>הסכמות מסגרת</w:t>
      </w:r>
      <w:r>
        <w:rPr>
          <w:rFonts w:cs="David" w:hint="cs"/>
          <w:rtl/>
          <w:lang w:eastAsia="en-US"/>
        </w:rPr>
        <w:t>"</w:t>
      </w:r>
      <w:r w:rsidR="00814752" w:rsidRPr="00B96683">
        <w:rPr>
          <w:rFonts w:cs="David"/>
          <w:rtl/>
          <w:lang w:eastAsia="en-US"/>
        </w:rPr>
        <w:t xml:space="preserve"> או </w:t>
      </w:r>
      <w:r>
        <w:rPr>
          <w:rFonts w:cs="David" w:hint="cs"/>
          <w:rtl/>
          <w:lang w:eastAsia="en-US"/>
        </w:rPr>
        <w:t>"</w:t>
      </w:r>
      <w:r w:rsidR="00814752" w:rsidRPr="00B96683">
        <w:rPr>
          <w:rFonts w:cs="David"/>
          <w:rtl/>
          <w:lang w:eastAsia="en-US"/>
        </w:rPr>
        <w:t>הבנות מסגרת</w:t>
      </w:r>
      <w:r>
        <w:rPr>
          <w:rFonts w:cs="David" w:hint="cs"/>
          <w:rtl/>
          <w:lang w:eastAsia="en-US"/>
        </w:rPr>
        <w:t>"</w:t>
      </w:r>
      <w:r w:rsidR="00814752" w:rsidRPr="00B96683">
        <w:rPr>
          <w:rFonts w:cs="David"/>
          <w:rtl/>
          <w:lang w:eastAsia="en-US"/>
        </w:rPr>
        <w:t xml:space="preserve"> </w:t>
      </w:r>
      <w:r w:rsidR="003238A1">
        <w:rPr>
          <w:rFonts w:cs="David" w:hint="cs"/>
          <w:rtl/>
          <w:lang w:eastAsia="en-US"/>
        </w:rPr>
        <w:t xml:space="preserve">הכובלות במפורש או בפועל את אחד הצדדים </w:t>
      </w:r>
      <w:r w:rsidR="00814752" w:rsidRPr="00B96683">
        <w:rPr>
          <w:rFonts w:cs="David"/>
          <w:rtl/>
          <w:lang w:eastAsia="en-US"/>
        </w:rPr>
        <w:t>להצבעה מסוימת</w:t>
      </w:r>
      <w:r>
        <w:rPr>
          <w:rFonts w:cs="David" w:hint="cs"/>
          <w:rtl/>
          <w:lang w:eastAsia="en-US"/>
        </w:rPr>
        <w:t xml:space="preserve"> ע</w:t>
      </w:r>
      <w:r w:rsidR="006A5964">
        <w:rPr>
          <w:rFonts w:cs="David" w:hint="cs"/>
          <w:rtl/>
          <w:lang w:eastAsia="en-US"/>
        </w:rPr>
        <w:t>שוי</w:t>
      </w:r>
      <w:r w:rsidR="003238A1">
        <w:rPr>
          <w:rFonts w:cs="David" w:hint="cs"/>
          <w:rtl/>
          <w:lang w:eastAsia="en-US"/>
        </w:rPr>
        <w:t>ות</w:t>
      </w:r>
      <w:r>
        <w:rPr>
          <w:rFonts w:cs="David" w:hint="cs"/>
          <w:rtl/>
          <w:lang w:eastAsia="en-US"/>
        </w:rPr>
        <w:t xml:space="preserve"> להעיד על שיתוף פעולה מתמשך</w:t>
      </w:r>
      <w:r w:rsidR="006A5964">
        <w:rPr>
          <w:rFonts w:cs="David" w:hint="cs"/>
          <w:rtl/>
          <w:lang w:eastAsia="en-US"/>
        </w:rPr>
        <w:t xml:space="preserve">. </w:t>
      </w:r>
      <w:r w:rsidR="004C03DB" w:rsidRPr="004D0AD7">
        <w:rPr>
          <w:rFonts w:cs="David" w:hint="cs"/>
          <w:rtl/>
          <w:lang w:eastAsia="en-US"/>
        </w:rPr>
        <w:t>הוא הדין באשר להסכמה או הבנה בין גופים לפיה יידברו ביניהם לפני כל אסיפה או הצבעה</w:t>
      </w:r>
      <w:r w:rsidR="00062686">
        <w:rPr>
          <w:rFonts w:cs="David" w:hint="cs"/>
          <w:rtl/>
          <w:lang w:eastAsia="en-US"/>
        </w:rPr>
        <w:t xml:space="preserve"> גם אם הבנה כזאת לא כוללת הסכמה על אופן ההכרעה בהידברות</w:t>
      </w:r>
      <w:r w:rsidR="00CE5B54">
        <w:rPr>
          <w:rFonts w:cs="David" w:hint="cs"/>
          <w:rtl/>
          <w:lang w:eastAsia="en-US"/>
        </w:rPr>
        <w:t xml:space="preserve"> ביניהם</w:t>
      </w:r>
      <w:r w:rsidR="004C03DB" w:rsidRPr="004D0AD7">
        <w:rPr>
          <w:rFonts w:cs="David" w:hint="cs"/>
          <w:rtl/>
          <w:lang w:eastAsia="en-US"/>
        </w:rPr>
        <w:t xml:space="preserve">. </w:t>
      </w:r>
    </w:p>
    <w:p w:rsidR="00615243" w:rsidRPr="004D0AD7" w:rsidRDefault="00090758" w:rsidP="00AA668C">
      <w:pPr>
        <w:spacing w:after="240" w:line="360" w:lineRule="auto"/>
        <w:ind w:left="-58"/>
        <w:jc w:val="both"/>
        <w:rPr>
          <w:rFonts w:cs="David" w:hint="cs"/>
          <w:highlight w:val="yellow"/>
          <w:rtl/>
          <w:lang w:eastAsia="en-US"/>
        </w:rPr>
      </w:pPr>
      <w:r>
        <w:rPr>
          <w:rFonts w:cs="David" w:hint="cs"/>
          <w:rtl/>
          <w:lang w:eastAsia="en-US"/>
        </w:rPr>
        <w:lastRenderedPageBreak/>
        <w:t xml:space="preserve">שיתוף פעולה מתמשך בין גופים מוסדיים דורש בחינה תחרותית </w:t>
      </w:r>
      <w:r w:rsidR="006A5964">
        <w:rPr>
          <w:rFonts w:cs="David" w:hint="cs"/>
          <w:rtl/>
          <w:lang w:eastAsia="en-US"/>
        </w:rPr>
        <w:t xml:space="preserve">מדוקדקת יותר, </w:t>
      </w:r>
      <w:r>
        <w:rPr>
          <w:rFonts w:cs="David" w:hint="cs"/>
          <w:rtl/>
          <w:lang w:eastAsia="en-US"/>
        </w:rPr>
        <w:t>הלוקחת בחשבון</w:t>
      </w:r>
      <w:r w:rsidR="006A5964">
        <w:rPr>
          <w:rFonts w:cs="David" w:hint="cs"/>
          <w:rtl/>
          <w:lang w:eastAsia="en-US"/>
        </w:rPr>
        <w:t xml:space="preserve"> את מכלול נסיבות העניין, </w:t>
      </w:r>
      <w:r>
        <w:rPr>
          <w:rFonts w:cs="David" w:hint="cs"/>
          <w:rtl/>
          <w:lang w:eastAsia="en-US"/>
        </w:rPr>
        <w:t>כגון שיעורי האחזקה של הגופים המוסדיים, פרטי ההסדר ביניהם, משך ההסדר, זהות התאגידים המוחזקים וכיוצ"ב.</w:t>
      </w:r>
      <w:r w:rsidR="006A5964">
        <w:rPr>
          <w:rFonts w:cs="David" w:hint="cs"/>
          <w:rtl/>
          <w:lang w:eastAsia="en-US"/>
        </w:rPr>
        <w:t xml:space="preserve"> </w:t>
      </w:r>
      <w:r w:rsidR="00142C34">
        <w:rPr>
          <w:rFonts w:cs="David" w:hint="cs"/>
          <w:rtl/>
          <w:lang w:eastAsia="en-US"/>
        </w:rPr>
        <w:t>שיתוף פעולה מתמשך עשוי ליצור בנסיבות מסוימות זיקת השפעה ממשית בין הגופי</w:t>
      </w:r>
      <w:r w:rsidR="00112384">
        <w:rPr>
          <w:rFonts w:cs="David" w:hint="cs"/>
          <w:rtl/>
          <w:lang w:eastAsia="en-US"/>
        </w:rPr>
        <w:t>ם</w:t>
      </w:r>
      <w:r w:rsidR="006A5964">
        <w:rPr>
          <w:rFonts w:cs="David" w:hint="cs"/>
          <w:rtl/>
          <w:lang w:eastAsia="en-US"/>
        </w:rPr>
        <w:t xml:space="preserve"> המוסדיים</w:t>
      </w:r>
      <w:r w:rsidR="00142C34">
        <w:rPr>
          <w:rFonts w:cs="David" w:hint="cs"/>
          <w:rtl/>
          <w:lang w:eastAsia="en-US"/>
        </w:rPr>
        <w:t xml:space="preserve"> לבין הגופים המוחזקים, באופן העשוי לעלות לכדי מיזוג חברות.</w:t>
      </w:r>
      <w:r w:rsidR="009A15FF">
        <w:rPr>
          <w:rStyle w:val="FootnoteReference"/>
          <w:rtl/>
          <w:lang w:eastAsia="en-US"/>
        </w:rPr>
        <w:footnoteReference w:id="12"/>
      </w:r>
      <w:r w:rsidR="009336AC">
        <w:rPr>
          <w:rFonts w:cs="David" w:hint="cs"/>
          <w:rtl/>
          <w:lang w:eastAsia="en-US"/>
        </w:rPr>
        <w:t xml:space="preserve"> </w:t>
      </w:r>
      <w:r w:rsidR="00142C34">
        <w:rPr>
          <w:rFonts w:cs="David" w:hint="cs"/>
          <w:rtl/>
          <w:lang w:eastAsia="en-US"/>
        </w:rPr>
        <w:t>כמו כן, ע</w:t>
      </w:r>
      <w:r w:rsidR="00814752">
        <w:rPr>
          <w:rFonts w:cs="David" w:hint="cs"/>
          <w:rtl/>
          <w:lang w:eastAsia="en-US"/>
        </w:rPr>
        <w:t>שוי</w:t>
      </w:r>
      <w:r w:rsidR="00142C34">
        <w:rPr>
          <w:rFonts w:cs="David" w:hint="cs"/>
          <w:rtl/>
          <w:lang w:eastAsia="en-US"/>
        </w:rPr>
        <w:t xml:space="preserve"> שיתוף פעולה מתמשך לע</w:t>
      </w:r>
      <w:r>
        <w:rPr>
          <w:rFonts w:cs="David" w:hint="cs"/>
          <w:rtl/>
          <w:lang w:eastAsia="en-US"/>
        </w:rPr>
        <w:t>לות לכדי הסדר כובל</w:t>
      </w:r>
      <w:r w:rsidR="00F45BFB">
        <w:rPr>
          <w:rFonts w:cs="David" w:hint="cs"/>
          <w:rtl/>
          <w:lang w:eastAsia="en-US"/>
        </w:rPr>
        <w:t xml:space="preserve"> בין הגופים המוסדיים</w:t>
      </w:r>
      <w:r w:rsidR="006A5964">
        <w:rPr>
          <w:rFonts w:cs="David" w:hint="cs"/>
          <w:rtl/>
          <w:lang w:eastAsia="en-US"/>
        </w:rPr>
        <w:t xml:space="preserve"> ולהעלות חששות תחרותיים במישורים שונים, כגון אלו </w:t>
      </w:r>
      <w:r w:rsidR="00CB0245">
        <w:rPr>
          <w:rFonts w:cs="David" w:hint="cs"/>
          <w:rtl/>
          <w:lang w:eastAsia="en-US"/>
        </w:rPr>
        <w:t>שיפורטו</w:t>
      </w:r>
      <w:r w:rsidR="006A5964">
        <w:rPr>
          <w:rFonts w:cs="David" w:hint="cs"/>
          <w:rtl/>
          <w:lang w:eastAsia="en-US"/>
        </w:rPr>
        <w:t xml:space="preserve"> להלן</w:t>
      </w:r>
      <w:r>
        <w:rPr>
          <w:rFonts w:cs="David" w:hint="cs"/>
          <w:rtl/>
          <w:lang w:eastAsia="en-US"/>
        </w:rPr>
        <w:t>.</w:t>
      </w:r>
    </w:p>
    <w:p w:rsidR="00090758" w:rsidRDefault="006A5964" w:rsidP="00CE5B54">
      <w:pPr>
        <w:spacing w:after="240" w:line="360" w:lineRule="auto"/>
        <w:jc w:val="both"/>
        <w:rPr>
          <w:rFonts w:cs="David" w:hint="cs"/>
          <w:rtl/>
          <w:lang w:eastAsia="en-US"/>
        </w:rPr>
      </w:pPr>
      <w:r>
        <w:rPr>
          <w:rFonts w:cs="David" w:hint="cs"/>
          <w:rtl/>
          <w:lang w:eastAsia="en-US"/>
        </w:rPr>
        <w:t xml:space="preserve">כך, כאשר מדובר בקבוצת גופים מוסדיים שמסכימים ביניהם על שיתוף פעולה מתמשך, על פני זמן או על פני תאגידים שונים, עשוי לעלות </w:t>
      </w:r>
      <w:r w:rsidR="00090758">
        <w:rPr>
          <w:rFonts w:cs="David" w:hint="cs"/>
          <w:rtl/>
          <w:lang w:eastAsia="en-US"/>
        </w:rPr>
        <w:t xml:space="preserve">חשש מפני התפתחות של </w:t>
      </w:r>
      <w:r w:rsidR="00C16AE6">
        <w:rPr>
          <w:rFonts w:cs="David" w:hint="cs"/>
          <w:rtl/>
          <w:lang w:eastAsia="en-US"/>
        </w:rPr>
        <w:t>מערכות יחסים של "</w:t>
      </w:r>
      <w:r w:rsidR="00090758">
        <w:rPr>
          <w:rFonts w:cs="David" w:hint="cs"/>
          <w:rtl/>
          <w:lang w:eastAsia="en-US"/>
        </w:rPr>
        <w:t>קח</w:t>
      </w:r>
      <w:r w:rsidR="00C16AE6">
        <w:rPr>
          <w:rFonts w:cs="David" w:hint="cs"/>
          <w:rtl/>
          <w:lang w:eastAsia="en-US"/>
        </w:rPr>
        <w:t xml:space="preserve"> ותן</w:t>
      </w:r>
      <w:r w:rsidR="00090758">
        <w:rPr>
          <w:rFonts w:cs="David" w:hint="cs"/>
          <w:rtl/>
          <w:lang w:eastAsia="en-US"/>
        </w:rPr>
        <w:t>" בין הגופים המוסדיים</w:t>
      </w:r>
      <w:r w:rsidR="00C16AE6">
        <w:rPr>
          <w:rFonts w:cs="David" w:hint="cs"/>
          <w:rtl/>
          <w:lang w:eastAsia="en-US"/>
        </w:rPr>
        <w:t xml:space="preserve">. מערכת יחסים מסוג זה עלולה לפגוע בתחרות בין הגופים המוסדיים לבין עצמם, ואף לפגוע בתאגידים המוחזקים, מאחר שבמסגרתה עלולים הגופים המוסדיים לקבל החלטות שאינן משקפות את </w:t>
      </w:r>
      <w:r w:rsidR="00F45BFB">
        <w:rPr>
          <w:rFonts w:cs="David" w:hint="cs"/>
          <w:rtl/>
          <w:lang w:eastAsia="en-US"/>
        </w:rPr>
        <w:t xml:space="preserve">עמדתם </w:t>
      </w:r>
      <w:r w:rsidR="00C16AE6">
        <w:rPr>
          <w:rFonts w:cs="David" w:hint="cs"/>
          <w:rtl/>
          <w:lang w:eastAsia="en-US"/>
        </w:rPr>
        <w:t>האמיתית לגבי טובת התאגיד.</w:t>
      </w:r>
      <w:r w:rsidR="00090758">
        <w:rPr>
          <w:rFonts w:cs="David" w:hint="cs"/>
          <w:rtl/>
          <w:lang w:eastAsia="en-US"/>
        </w:rPr>
        <w:t xml:space="preserve"> חשש זה אינו ייחודי אמנם לשיתופי פעולה בין משקיעים מוסדיים דווקא, אך נוכח מספרם הקטן יחסית של גופים אלו וחלקם הגדול מבין המשקיעים בכלל ענפי המשק, היקף שיתופי הפעולה ביניהם צפוי להיות גדול, והאינטרס בשימורו צפוי אף הוא להיות גדול יחסית.</w:t>
      </w:r>
      <w:r w:rsidR="00BF1C0E" w:rsidDel="00BF1C0E">
        <w:rPr>
          <w:rStyle w:val="CommentReference"/>
          <w:rFonts w:ascii="Calibri" w:eastAsia="Calibri" w:hAnsi="Calibri" w:cs="David"/>
          <w:rtl/>
          <w:lang w:eastAsia="en-US"/>
        </w:rPr>
        <w:t xml:space="preserve"> </w:t>
      </w:r>
    </w:p>
    <w:p w:rsidR="00C6700B" w:rsidRDefault="00C6700B" w:rsidP="00C6700B">
      <w:pPr>
        <w:spacing w:after="240" w:line="360" w:lineRule="auto"/>
        <w:ind w:left="-58"/>
        <w:jc w:val="both"/>
        <w:rPr>
          <w:rFonts w:cs="David"/>
          <w:rtl/>
          <w:lang w:eastAsia="en-US"/>
        </w:rPr>
      </w:pPr>
      <w:r>
        <w:rPr>
          <w:rFonts w:cs="David" w:hint="cs"/>
          <w:rtl/>
        </w:rPr>
        <w:t xml:space="preserve">כמו כן, </w:t>
      </w:r>
      <w:r w:rsidR="009376AB">
        <w:rPr>
          <w:rFonts w:cs="David" w:hint="cs"/>
          <w:rtl/>
          <w:lang w:eastAsia="en-US"/>
        </w:rPr>
        <w:t>אחזקותיהם המצרפיות של גופים מוסדיים בענף מסוים צפוי</w:t>
      </w:r>
      <w:r w:rsidR="00EB7BE3">
        <w:rPr>
          <w:rFonts w:cs="David" w:hint="cs"/>
          <w:rtl/>
          <w:lang w:eastAsia="en-US"/>
        </w:rPr>
        <w:t>ות</w:t>
      </w:r>
      <w:r w:rsidR="009376AB">
        <w:rPr>
          <w:rFonts w:cs="David" w:hint="cs"/>
          <w:rtl/>
          <w:lang w:eastAsia="en-US"/>
        </w:rPr>
        <w:t xml:space="preserve"> להיות </w:t>
      </w:r>
      <w:r w:rsidR="00245E20">
        <w:rPr>
          <w:rFonts w:cs="David" w:hint="cs"/>
          <w:rtl/>
          <w:lang w:eastAsia="en-US"/>
        </w:rPr>
        <w:t xml:space="preserve">גדולות </w:t>
      </w:r>
      <w:r w:rsidR="009376AB">
        <w:rPr>
          <w:rFonts w:cs="David" w:hint="cs"/>
          <w:rtl/>
          <w:lang w:eastAsia="en-US"/>
        </w:rPr>
        <w:t>מאלו של גוף מוסדי בודד</w:t>
      </w:r>
      <w:r w:rsidR="00245E20">
        <w:rPr>
          <w:rFonts w:cs="David" w:hint="cs"/>
          <w:rtl/>
          <w:lang w:eastAsia="en-US"/>
        </w:rPr>
        <w:t xml:space="preserve"> ו</w:t>
      </w:r>
      <w:r w:rsidR="009376AB">
        <w:rPr>
          <w:rFonts w:cs="David" w:hint="cs"/>
          <w:rtl/>
          <w:lang w:eastAsia="en-US"/>
        </w:rPr>
        <w:t>להתפרש על פני חברות רבות יותר בתוך הענף</w:t>
      </w:r>
      <w:r w:rsidR="00245E20">
        <w:rPr>
          <w:rFonts w:cs="David" w:hint="cs"/>
          <w:rtl/>
          <w:lang w:eastAsia="en-US"/>
        </w:rPr>
        <w:t>. נוכח כך</w:t>
      </w:r>
      <w:r w:rsidR="009376AB">
        <w:rPr>
          <w:rFonts w:cs="David" w:hint="cs"/>
          <w:rtl/>
          <w:lang w:eastAsia="en-US"/>
        </w:rPr>
        <w:t xml:space="preserve">, עלול להיווצר גם החשש שבשיתוף פעולה חוזר בין אותם גופים </w:t>
      </w:r>
      <w:r w:rsidR="00215D1E">
        <w:rPr>
          <w:rFonts w:cs="David" w:hint="cs"/>
          <w:rtl/>
          <w:lang w:eastAsia="en-US"/>
        </w:rPr>
        <w:t xml:space="preserve">על פני </w:t>
      </w:r>
      <w:r w:rsidR="009376AB">
        <w:rPr>
          <w:rFonts w:cs="David" w:hint="cs"/>
          <w:rtl/>
          <w:lang w:eastAsia="en-US"/>
        </w:rPr>
        <w:t>חברות שונות הפועלות באותו ענף, יילקח בחשבון האינטרס הכלל</w:t>
      </w:r>
      <w:r w:rsidR="00245E20">
        <w:rPr>
          <w:rFonts w:cs="David" w:hint="cs"/>
          <w:rtl/>
          <w:lang w:eastAsia="en-US"/>
        </w:rPr>
        <w:t>-</w:t>
      </w:r>
      <w:r w:rsidR="009376AB">
        <w:rPr>
          <w:rFonts w:cs="David" w:hint="cs"/>
          <w:rtl/>
          <w:lang w:eastAsia="en-US"/>
        </w:rPr>
        <w:t>ענפי בהשאת רווחי כל החברות הפועלות בענף, ולא רק השאלה הקונקרטית העומדת על הפרק בתאגיד בו מתבצע שיתוף הפעולה.</w:t>
      </w:r>
      <w:r w:rsidR="009376AB">
        <w:rPr>
          <w:rFonts w:cs="David" w:hint="cs"/>
          <w:rtl/>
        </w:rPr>
        <w:t xml:space="preserve"> </w:t>
      </w:r>
      <w:r w:rsidR="00323000">
        <w:rPr>
          <w:rFonts w:cs="David" w:hint="cs"/>
          <w:rtl/>
        </w:rPr>
        <w:t xml:space="preserve">חשש </w:t>
      </w:r>
      <w:r w:rsidR="00323000">
        <w:rPr>
          <w:rFonts w:cs="David" w:hint="cs"/>
          <w:rtl/>
          <w:lang w:eastAsia="en-US"/>
        </w:rPr>
        <w:t xml:space="preserve">דומה עשוי לעלות </w:t>
      </w:r>
      <w:r w:rsidR="00E74CA9">
        <w:rPr>
          <w:rFonts w:cs="David" w:hint="cs"/>
          <w:rtl/>
        </w:rPr>
        <w:t xml:space="preserve">אמנם </w:t>
      </w:r>
      <w:r w:rsidR="00323000">
        <w:rPr>
          <w:rFonts w:cs="David" w:hint="cs"/>
          <w:rtl/>
          <w:lang w:eastAsia="en-US"/>
        </w:rPr>
        <w:t>בכל מקרה בו בעל מניות מחזיק אחזקות צולבות בענף מסוים, אולם היתר לשיתופי פעולה חוזרים בין הגופים המוסדיים ויצירת קרקע פורה ליחסים ארוכי טווח ביניהם עלולים להגביר ולהרחיב את היקף התופעה והחששות התחרותיים הנובעים ממנה וזאת נוכח כוחם המצרפי הרב של הגופים המוסדיים ובשל ה"משחק החוזר" בי</w:t>
      </w:r>
      <w:r>
        <w:rPr>
          <w:rFonts w:cs="David" w:hint="cs"/>
          <w:rtl/>
          <w:lang w:eastAsia="en-US"/>
        </w:rPr>
        <w:t>ניהם</w:t>
      </w:r>
      <w:r w:rsidR="00323000">
        <w:rPr>
          <w:rFonts w:cs="David" w:hint="cs"/>
          <w:rtl/>
          <w:lang w:eastAsia="en-US"/>
        </w:rPr>
        <w:t>.</w:t>
      </w:r>
      <w:r w:rsidRPr="00C6700B">
        <w:rPr>
          <w:rFonts w:cs="David" w:hint="cs"/>
          <w:rtl/>
          <w:lang w:eastAsia="en-US"/>
        </w:rPr>
        <w:t xml:space="preserve"> </w:t>
      </w:r>
    </w:p>
    <w:p w:rsidR="00090758" w:rsidRDefault="00C6700B" w:rsidP="00B627AB">
      <w:pPr>
        <w:spacing w:after="240" w:line="360" w:lineRule="auto"/>
        <w:ind w:left="-58"/>
        <w:jc w:val="both"/>
        <w:rPr>
          <w:rFonts w:cs="David" w:hint="cs"/>
          <w:rtl/>
          <w:lang w:eastAsia="en-US"/>
        </w:rPr>
      </w:pPr>
      <w:r>
        <w:rPr>
          <w:rFonts w:cs="David" w:hint="cs"/>
          <w:rtl/>
          <w:lang w:eastAsia="en-US"/>
        </w:rPr>
        <w:lastRenderedPageBreak/>
        <w:t xml:space="preserve">יחד עם זאת, </w:t>
      </w:r>
      <w:r w:rsidR="00C74BCE">
        <w:rPr>
          <w:rFonts w:cs="David" w:hint="cs"/>
          <w:rtl/>
          <w:lang w:eastAsia="en-US"/>
        </w:rPr>
        <w:t xml:space="preserve">עניינו של </w:t>
      </w:r>
      <w:r w:rsidRPr="004D0AD7">
        <w:rPr>
          <w:rFonts w:cs="David" w:hint="cs"/>
          <w:rtl/>
          <w:lang w:eastAsia="en-US"/>
        </w:rPr>
        <w:t xml:space="preserve">גילוי דעת זה </w:t>
      </w:r>
      <w:r w:rsidR="000038F9">
        <w:rPr>
          <w:rFonts w:cs="David" w:hint="cs"/>
          <w:rtl/>
          <w:lang w:eastAsia="en-US"/>
        </w:rPr>
        <w:t xml:space="preserve">אינו </w:t>
      </w:r>
      <w:r w:rsidRPr="004D0AD7">
        <w:rPr>
          <w:rFonts w:cs="David" w:hint="cs"/>
          <w:rtl/>
          <w:lang w:eastAsia="en-US"/>
        </w:rPr>
        <w:t>בחששות התחרותיים הנובעים</w:t>
      </w:r>
      <w:r>
        <w:rPr>
          <w:rFonts w:cs="David" w:hint="cs"/>
          <w:rtl/>
          <w:lang w:eastAsia="en-US"/>
        </w:rPr>
        <w:t xml:space="preserve"> מהחזקה של </w:t>
      </w:r>
      <w:r w:rsidR="00C74BCE">
        <w:rPr>
          <w:rFonts w:cs="David" w:hint="cs"/>
          <w:rtl/>
          <w:lang w:eastAsia="en-US"/>
        </w:rPr>
        <w:t xml:space="preserve">משקיע אחד (לרבות </w:t>
      </w:r>
      <w:r>
        <w:rPr>
          <w:rFonts w:cs="David" w:hint="cs"/>
          <w:rtl/>
          <w:lang w:eastAsia="en-US"/>
        </w:rPr>
        <w:t>גוף מוסדי</w:t>
      </w:r>
      <w:r w:rsidR="00C74BCE">
        <w:rPr>
          <w:rFonts w:cs="David" w:hint="cs"/>
          <w:rtl/>
          <w:lang w:eastAsia="en-US"/>
        </w:rPr>
        <w:t>)</w:t>
      </w:r>
      <w:r>
        <w:rPr>
          <w:rFonts w:cs="David" w:hint="cs"/>
          <w:rtl/>
          <w:lang w:eastAsia="en-US"/>
        </w:rPr>
        <w:t xml:space="preserve"> במספר מתחרים</w:t>
      </w:r>
      <w:r w:rsidR="00C74BCE">
        <w:rPr>
          <w:rFonts w:cs="David" w:hint="cs"/>
          <w:rtl/>
          <w:lang w:eastAsia="en-US"/>
        </w:rPr>
        <w:t>,</w:t>
      </w:r>
      <w:r>
        <w:rPr>
          <w:rFonts w:cs="David" w:hint="cs"/>
          <w:rtl/>
          <w:lang w:eastAsia="en-US"/>
        </w:rPr>
        <w:t xml:space="preserve"> או בחששות התחרותיים הנובעים ממצבים בהם מספר משקיעים מחזיקים באותם תאגידים המתחרים זה בזה. </w:t>
      </w:r>
      <w:r w:rsidRPr="009336AC">
        <w:rPr>
          <w:rStyle w:val="FootnoteReference"/>
          <w:rtl/>
          <w:lang w:eastAsia="en-US"/>
        </w:rPr>
        <w:t xml:space="preserve"> </w:t>
      </w:r>
      <w:r w:rsidR="0099706A">
        <w:rPr>
          <w:rFonts w:cs="David" w:hint="cs"/>
          <w:rtl/>
          <w:lang w:eastAsia="en-US"/>
        </w:rPr>
        <w:t>עוצמתם</w:t>
      </w:r>
      <w:r>
        <w:rPr>
          <w:rFonts w:cs="David" w:hint="cs"/>
          <w:rtl/>
          <w:lang w:eastAsia="en-US"/>
        </w:rPr>
        <w:t xml:space="preserve"> של חשש</w:t>
      </w:r>
      <w:r w:rsidR="0099706A">
        <w:rPr>
          <w:rFonts w:cs="David" w:hint="cs"/>
          <w:rtl/>
          <w:lang w:eastAsia="en-US"/>
        </w:rPr>
        <w:t>ות אלו</w:t>
      </w:r>
      <w:r>
        <w:rPr>
          <w:rFonts w:cs="David" w:hint="cs"/>
          <w:rtl/>
          <w:lang w:eastAsia="en-US"/>
        </w:rPr>
        <w:t xml:space="preserve"> תלוי</w:t>
      </w:r>
      <w:r w:rsidR="0099706A">
        <w:rPr>
          <w:rFonts w:cs="David" w:hint="cs"/>
          <w:rtl/>
          <w:lang w:eastAsia="en-US"/>
        </w:rPr>
        <w:t>ה</w:t>
      </w:r>
      <w:r>
        <w:rPr>
          <w:rFonts w:cs="David" w:hint="cs"/>
          <w:rtl/>
          <w:lang w:eastAsia="en-US"/>
        </w:rPr>
        <w:t xml:space="preserve"> בין היתר ברמת התחרותיות המתקיימת בשוק שבו פועלים התאגידים</w:t>
      </w:r>
      <w:r w:rsidR="0099706A">
        <w:rPr>
          <w:rFonts w:cs="David" w:hint="cs"/>
          <w:rtl/>
          <w:lang w:eastAsia="en-US"/>
        </w:rPr>
        <w:t xml:space="preserve"> המוחזקים, שיעור האחזקות, תמהיל האחזקות, </w:t>
      </w:r>
      <w:r>
        <w:rPr>
          <w:rFonts w:cs="David" w:hint="cs"/>
          <w:rtl/>
          <w:lang w:eastAsia="en-US"/>
        </w:rPr>
        <w:t xml:space="preserve">מידת התדירות שבה </w:t>
      </w:r>
      <w:r w:rsidR="0099706A">
        <w:rPr>
          <w:rFonts w:cs="David" w:hint="cs"/>
          <w:rtl/>
          <w:lang w:eastAsia="en-US"/>
        </w:rPr>
        <w:t xml:space="preserve">משקיעים אלו </w:t>
      </w:r>
      <w:r>
        <w:rPr>
          <w:rFonts w:cs="David" w:hint="cs"/>
          <w:rtl/>
          <w:lang w:eastAsia="en-US"/>
        </w:rPr>
        <w:t xml:space="preserve">מוצאים את עצמם מחזיקים בתאגידים המתחרים זה בזה. </w:t>
      </w:r>
      <w:r w:rsidR="00C74BCE">
        <w:rPr>
          <w:rFonts w:cs="David" w:hint="cs"/>
          <w:rtl/>
          <w:lang w:eastAsia="en-US"/>
        </w:rPr>
        <w:t xml:space="preserve">עניין זה הועלה בשנים האחרונות כנושא הראוי להתייחסות רגולטורית, אך </w:t>
      </w:r>
      <w:r>
        <w:rPr>
          <w:rFonts w:cs="David" w:hint="cs"/>
          <w:rtl/>
          <w:lang w:eastAsia="en-US"/>
        </w:rPr>
        <w:t>גילוי דעת זה לא בא לקבוע</w:t>
      </w:r>
      <w:r w:rsidR="00C74BCE">
        <w:rPr>
          <w:rFonts w:cs="David" w:hint="cs"/>
          <w:rtl/>
          <w:lang w:eastAsia="en-US"/>
        </w:rPr>
        <w:t xml:space="preserve"> עמדה </w:t>
      </w:r>
      <w:r w:rsidR="0099706A">
        <w:rPr>
          <w:rFonts w:cs="David" w:hint="cs"/>
          <w:rtl/>
          <w:lang w:eastAsia="en-US"/>
        </w:rPr>
        <w:t>בנוגע אליו</w:t>
      </w:r>
      <w:r>
        <w:rPr>
          <w:rFonts w:cs="David" w:hint="cs"/>
          <w:rtl/>
          <w:lang w:eastAsia="en-US"/>
        </w:rPr>
        <w:t xml:space="preserve"> או לטפל בדרכים להפסתו. </w:t>
      </w:r>
    </w:p>
    <w:p w:rsidR="00745BEF" w:rsidRPr="009A15FF" w:rsidRDefault="00CE7AD7" w:rsidP="00245E20">
      <w:pPr>
        <w:numPr>
          <w:ilvl w:val="0"/>
          <w:numId w:val="15"/>
        </w:numPr>
        <w:spacing w:after="240" w:line="360" w:lineRule="auto"/>
        <w:jc w:val="both"/>
        <w:rPr>
          <w:rFonts w:cs="David" w:hint="cs"/>
          <w:b/>
          <w:bCs/>
          <w:lang w:eastAsia="en-US"/>
        </w:rPr>
      </w:pPr>
      <w:r>
        <w:rPr>
          <w:rFonts w:cs="David" w:hint="cs"/>
          <w:b/>
          <w:bCs/>
          <w:rtl/>
          <w:lang w:eastAsia="en-US"/>
        </w:rPr>
        <w:t>ה</w:t>
      </w:r>
      <w:r w:rsidR="00745BEF" w:rsidRPr="009A15FF">
        <w:rPr>
          <w:rFonts w:cs="David" w:hint="cs"/>
          <w:b/>
          <w:bCs/>
          <w:rtl/>
          <w:lang w:eastAsia="en-US"/>
        </w:rPr>
        <w:t>יעדר זיקה תחרותית בין פעילות התאגיד הקונקרטי לבין פעילות הגוף המוסדי</w:t>
      </w:r>
      <w:r w:rsidR="000F5300" w:rsidRPr="004C0516">
        <w:rPr>
          <w:rFonts w:cs="David" w:hint="cs"/>
          <w:b/>
          <w:bCs/>
          <w:rtl/>
          <w:lang w:eastAsia="en-US"/>
        </w:rPr>
        <w:t xml:space="preserve"> </w:t>
      </w:r>
      <w:r w:rsidR="000F5300" w:rsidRPr="004D0AD7">
        <w:rPr>
          <w:rFonts w:cs="David" w:hint="cs"/>
          <w:b/>
          <w:bCs/>
          <w:rtl/>
          <w:lang w:eastAsia="en-US"/>
        </w:rPr>
        <w:t xml:space="preserve"> </w:t>
      </w:r>
    </w:p>
    <w:p w:rsidR="00F7505D" w:rsidRDefault="00F7505D" w:rsidP="009C10B8">
      <w:pPr>
        <w:spacing w:after="240" w:line="360" w:lineRule="auto"/>
        <w:ind w:left="-58"/>
        <w:jc w:val="both"/>
        <w:rPr>
          <w:rFonts w:cs="David" w:hint="cs"/>
          <w:rtl/>
          <w:lang w:eastAsia="en-US"/>
        </w:rPr>
      </w:pPr>
      <w:r>
        <w:rPr>
          <w:rFonts w:cs="David" w:hint="cs"/>
          <w:rtl/>
          <w:lang w:eastAsia="en-US"/>
        </w:rPr>
        <w:t xml:space="preserve">שיתופי הפעולה </w:t>
      </w:r>
      <w:r w:rsidR="000F5300">
        <w:rPr>
          <w:rFonts w:cs="David" w:hint="cs"/>
          <w:rtl/>
          <w:lang w:eastAsia="en-US"/>
        </w:rPr>
        <w:t xml:space="preserve">החוסים תחת </w:t>
      </w:r>
      <w:r>
        <w:rPr>
          <w:rFonts w:cs="David" w:hint="cs"/>
          <w:rtl/>
          <w:lang w:eastAsia="en-US"/>
        </w:rPr>
        <w:t xml:space="preserve">גילוי הדעת </w:t>
      </w:r>
      <w:r w:rsidR="006B39B0">
        <w:rPr>
          <w:rFonts w:cs="David" w:hint="cs"/>
          <w:rtl/>
          <w:lang w:eastAsia="en-US"/>
        </w:rPr>
        <w:t>תחומים</w:t>
      </w:r>
      <w:r>
        <w:rPr>
          <w:rFonts w:cs="David" w:hint="cs"/>
          <w:rtl/>
          <w:lang w:eastAsia="en-US"/>
        </w:rPr>
        <w:t xml:space="preserve"> לשיתופי פעולה שאינם בתחום התחרות.</w:t>
      </w:r>
      <w:r w:rsidR="00745BEF">
        <w:rPr>
          <w:rFonts w:cs="David" w:hint="cs"/>
          <w:rtl/>
          <w:lang w:eastAsia="en-US"/>
        </w:rPr>
        <w:t xml:space="preserve"> דהיינו, גילוי דעת זה לא יחול במקום </w:t>
      </w:r>
      <w:r w:rsidR="00183AB0">
        <w:rPr>
          <w:rFonts w:cs="David" w:hint="cs"/>
          <w:rtl/>
          <w:lang w:eastAsia="en-US"/>
        </w:rPr>
        <w:t>ש</w:t>
      </w:r>
      <w:r w:rsidR="00745BEF">
        <w:rPr>
          <w:rFonts w:cs="David" w:hint="cs"/>
          <w:rtl/>
          <w:lang w:eastAsia="en-US"/>
        </w:rPr>
        <w:t xml:space="preserve">בו קיימת זיקה </w:t>
      </w:r>
      <w:r w:rsidR="00745BEF" w:rsidRPr="009C10B8">
        <w:rPr>
          <w:rFonts w:cs="David" w:hint="cs"/>
          <w:rtl/>
          <w:lang w:eastAsia="en-US"/>
        </w:rPr>
        <w:t>תחרותית</w:t>
      </w:r>
      <w:r w:rsidR="00745BEF">
        <w:rPr>
          <w:rFonts w:cs="David" w:hint="cs"/>
          <w:rtl/>
          <w:lang w:eastAsia="en-US"/>
        </w:rPr>
        <w:t xml:space="preserve"> אופקית</w:t>
      </w:r>
      <w:r w:rsidR="009C10B8">
        <w:rPr>
          <w:rFonts w:cs="David" w:hint="cs"/>
          <w:rtl/>
          <w:lang w:eastAsia="en-US"/>
        </w:rPr>
        <w:t xml:space="preserve"> או</w:t>
      </w:r>
      <w:r w:rsidR="00745BEF">
        <w:rPr>
          <w:rFonts w:cs="David" w:hint="cs"/>
          <w:rtl/>
          <w:lang w:eastAsia="en-US"/>
        </w:rPr>
        <w:t xml:space="preserve"> אנכית</w:t>
      </w:r>
      <w:r w:rsidR="00183AB0">
        <w:rPr>
          <w:rFonts w:cs="David" w:hint="cs"/>
          <w:rtl/>
          <w:lang w:eastAsia="en-US"/>
        </w:rPr>
        <w:t xml:space="preserve"> </w:t>
      </w:r>
      <w:r w:rsidR="00745BEF">
        <w:rPr>
          <w:rFonts w:cs="David" w:hint="cs"/>
          <w:rtl/>
          <w:lang w:eastAsia="en-US"/>
        </w:rPr>
        <w:t>בין פעילותו של התאגיד המוחזק לבין הגוף המוסדי</w:t>
      </w:r>
      <w:r w:rsidR="009C10B8">
        <w:rPr>
          <w:rFonts w:cs="David" w:hint="cs"/>
          <w:rtl/>
          <w:lang w:eastAsia="en-US"/>
        </w:rPr>
        <w:t xml:space="preserve"> </w:t>
      </w:r>
      <w:r w:rsidR="009C10B8" w:rsidRPr="001020F1">
        <w:rPr>
          <w:rFonts w:cs="David" w:hint="cs"/>
          <w:rtl/>
          <w:lang w:eastAsia="en-US"/>
        </w:rPr>
        <w:t xml:space="preserve">או אדם </w:t>
      </w:r>
      <w:r w:rsidR="0033739A" w:rsidRPr="00A455BA">
        <w:rPr>
          <w:rFonts w:cs="David" w:hint="cs"/>
          <w:rtl/>
          <w:lang w:eastAsia="en-US"/>
        </w:rPr>
        <w:t>קשור לגו</w:t>
      </w:r>
      <w:r w:rsidR="009C10B8" w:rsidRPr="001020F1">
        <w:rPr>
          <w:rFonts w:cs="David" w:hint="cs"/>
          <w:rtl/>
          <w:lang w:eastAsia="en-US"/>
        </w:rPr>
        <w:t>ף המוסדי</w:t>
      </w:r>
      <w:r w:rsidR="00745BEF" w:rsidRPr="001020F1">
        <w:rPr>
          <w:rFonts w:cs="David" w:hint="cs"/>
          <w:rtl/>
          <w:lang w:eastAsia="en-US"/>
        </w:rPr>
        <w:t>.</w:t>
      </w:r>
      <w:r w:rsidR="000F5300">
        <w:rPr>
          <w:rFonts w:cs="David" w:hint="cs"/>
          <w:rtl/>
          <w:lang w:eastAsia="en-US"/>
        </w:rPr>
        <w:t xml:space="preserve"> </w:t>
      </w:r>
      <w:r w:rsidR="00194843">
        <w:rPr>
          <w:rFonts w:cs="David" w:hint="cs"/>
          <w:rtl/>
          <w:lang w:eastAsia="en-US"/>
        </w:rPr>
        <w:t>לפיכך,</w:t>
      </w:r>
      <w:r w:rsidR="00745BEF">
        <w:rPr>
          <w:rFonts w:cs="David" w:hint="cs"/>
          <w:rtl/>
          <w:lang w:eastAsia="en-US"/>
        </w:rPr>
        <w:t xml:space="preserve"> לא </w:t>
      </w:r>
      <w:r w:rsidR="00183AB0">
        <w:rPr>
          <w:rFonts w:cs="David" w:hint="cs"/>
          <w:rtl/>
          <w:lang w:eastAsia="en-US"/>
        </w:rPr>
        <w:t>י</w:t>
      </w:r>
      <w:r w:rsidR="00745BEF">
        <w:rPr>
          <w:rFonts w:cs="David" w:hint="cs"/>
          <w:rtl/>
          <w:lang w:eastAsia="en-US"/>
        </w:rPr>
        <w:t xml:space="preserve">יכללו בגדרי גילוי הדעת </w:t>
      </w:r>
      <w:r>
        <w:rPr>
          <w:rFonts w:cs="David" w:hint="cs"/>
          <w:rtl/>
          <w:lang w:eastAsia="en-US"/>
        </w:rPr>
        <w:t xml:space="preserve">שיתופי פעולה </w:t>
      </w:r>
      <w:r w:rsidR="00745BEF">
        <w:rPr>
          <w:rFonts w:cs="David" w:hint="cs"/>
          <w:rtl/>
          <w:lang w:eastAsia="en-US"/>
        </w:rPr>
        <w:t>בקבלת החלטות ב</w:t>
      </w:r>
      <w:r w:rsidR="006B39B0">
        <w:rPr>
          <w:rFonts w:cs="David" w:hint="cs"/>
          <w:rtl/>
          <w:lang w:eastAsia="en-US"/>
        </w:rPr>
        <w:t xml:space="preserve">תאגיד המתחרה </w:t>
      </w:r>
      <w:r w:rsidR="00745BEF">
        <w:rPr>
          <w:rFonts w:cs="David" w:hint="cs"/>
          <w:rtl/>
          <w:lang w:eastAsia="en-US"/>
        </w:rPr>
        <w:t xml:space="preserve">בגוף </w:t>
      </w:r>
      <w:r w:rsidR="006B39B0">
        <w:rPr>
          <w:rFonts w:cs="David" w:hint="cs"/>
          <w:rtl/>
          <w:lang w:eastAsia="en-US"/>
        </w:rPr>
        <w:t xml:space="preserve">המוסדי, </w:t>
      </w:r>
      <w:r w:rsidR="00745BEF">
        <w:rPr>
          <w:rFonts w:cs="David" w:hint="cs"/>
          <w:rtl/>
          <w:lang w:eastAsia="en-US"/>
        </w:rPr>
        <w:t xml:space="preserve">כגון </w:t>
      </w:r>
      <w:r w:rsidR="009C10B8">
        <w:rPr>
          <w:rFonts w:cs="David" w:hint="cs"/>
          <w:rtl/>
          <w:lang w:eastAsia="en-US"/>
        </w:rPr>
        <w:t>חברות ביטוח המשתפות פעולה בהחלטה המתקבלת באסיפה כללית של תאגיד בנקאי</w:t>
      </w:r>
      <w:r w:rsidR="00745BEF">
        <w:rPr>
          <w:rFonts w:cs="David" w:hint="cs"/>
          <w:rtl/>
          <w:lang w:eastAsia="en-US"/>
        </w:rPr>
        <w:t>.</w:t>
      </w:r>
    </w:p>
    <w:p w:rsidR="001E45C3" w:rsidRPr="004D0AD7" w:rsidRDefault="00C26884" w:rsidP="009567A0">
      <w:pPr>
        <w:numPr>
          <w:ilvl w:val="0"/>
          <w:numId w:val="15"/>
        </w:numPr>
        <w:spacing w:after="240" w:line="360" w:lineRule="auto"/>
        <w:jc w:val="both"/>
        <w:rPr>
          <w:rFonts w:cs="David" w:hint="cs"/>
          <w:b/>
          <w:bCs/>
          <w:strike/>
          <w:sz w:val="20"/>
          <w:szCs w:val="20"/>
          <w:lang w:eastAsia="en-US"/>
        </w:rPr>
      </w:pPr>
      <w:r w:rsidRPr="004C0516">
        <w:rPr>
          <w:rFonts w:cs="David" w:hint="cs"/>
          <w:b/>
          <w:bCs/>
          <w:rtl/>
          <w:lang w:eastAsia="en-US"/>
        </w:rPr>
        <w:t>תוכנו של שיתוף הפעולה</w:t>
      </w:r>
      <w:r>
        <w:rPr>
          <w:rFonts w:cs="David" w:hint="cs"/>
          <w:rtl/>
          <w:lang w:eastAsia="en-US"/>
        </w:rPr>
        <w:t xml:space="preserve"> </w:t>
      </w:r>
      <w:r w:rsidR="009567A0">
        <w:rPr>
          <w:rFonts w:cs="David" w:hint="cs"/>
          <w:b/>
          <w:bCs/>
          <w:rtl/>
          <w:lang w:eastAsia="en-US"/>
        </w:rPr>
        <w:t>והגורמים המעורבים בו</w:t>
      </w:r>
    </w:p>
    <w:p w:rsidR="006F7F72" w:rsidRDefault="001E45C3" w:rsidP="00E16A65">
      <w:pPr>
        <w:spacing w:after="240" w:line="360" w:lineRule="auto"/>
        <w:ind w:left="-58"/>
        <w:jc w:val="both"/>
        <w:rPr>
          <w:rFonts w:cs="David" w:hint="cs"/>
          <w:rtl/>
          <w:lang w:eastAsia="en-US"/>
        </w:rPr>
      </w:pPr>
      <w:r>
        <w:rPr>
          <w:rFonts w:cs="David"/>
          <w:rtl/>
          <w:lang w:eastAsia="en-US"/>
        </w:rPr>
        <w:t xml:space="preserve">שיתופי </w:t>
      </w:r>
      <w:r>
        <w:rPr>
          <w:rFonts w:cs="David" w:hint="cs"/>
          <w:rtl/>
          <w:lang w:eastAsia="en-US"/>
        </w:rPr>
        <w:t>ה</w:t>
      </w:r>
      <w:r>
        <w:rPr>
          <w:rFonts w:cs="David"/>
          <w:rtl/>
          <w:lang w:eastAsia="en-US"/>
        </w:rPr>
        <w:t>פעולה</w:t>
      </w:r>
      <w:r>
        <w:rPr>
          <w:rFonts w:cs="David" w:hint="cs"/>
          <w:rtl/>
          <w:lang w:eastAsia="en-US"/>
        </w:rPr>
        <w:t xml:space="preserve"> </w:t>
      </w:r>
      <w:r>
        <w:rPr>
          <w:rFonts w:cs="David"/>
          <w:rtl/>
          <w:lang w:eastAsia="en-US"/>
        </w:rPr>
        <w:t xml:space="preserve">בין משקיעים מוסדיים </w:t>
      </w:r>
      <w:r w:rsidR="00E16A65">
        <w:rPr>
          <w:rFonts w:cs="David" w:hint="cs"/>
          <w:rtl/>
          <w:lang w:eastAsia="en-US"/>
        </w:rPr>
        <w:t>לצורך נקיטת עמדה משותפת באספות כלליות</w:t>
      </w:r>
      <w:r>
        <w:rPr>
          <w:rFonts w:cs="David"/>
          <w:rtl/>
          <w:lang w:eastAsia="en-US"/>
        </w:rPr>
        <w:t xml:space="preserve"> </w:t>
      </w:r>
      <w:r>
        <w:rPr>
          <w:rFonts w:cs="David" w:hint="cs"/>
          <w:rtl/>
          <w:lang w:eastAsia="en-US"/>
        </w:rPr>
        <w:t>עשויים לבוא לידי ביטוי</w:t>
      </w:r>
      <w:r>
        <w:rPr>
          <w:rFonts w:cs="David"/>
          <w:rtl/>
          <w:lang w:eastAsia="en-US"/>
        </w:rPr>
        <w:t xml:space="preserve"> ב</w:t>
      </w:r>
      <w:r>
        <w:rPr>
          <w:rFonts w:cs="David" w:hint="cs"/>
          <w:rtl/>
          <w:lang w:eastAsia="en-US"/>
        </w:rPr>
        <w:t>קיום תקשורת חוזרת</w:t>
      </w:r>
      <w:r>
        <w:rPr>
          <w:rFonts w:cs="David"/>
          <w:rtl/>
          <w:lang w:eastAsia="en-US"/>
        </w:rPr>
        <w:t xml:space="preserve"> בי</w:t>
      </w:r>
      <w:r>
        <w:rPr>
          <w:rFonts w:cs="David" w:hint="cs"/>
          <w:rtl/>
          <w:lang w:eastAsia="en-US"/>
        </w:rPr>
        <w:t>ן בעלי תפקידים בגופים אלו, בין אם במסגרת אחזקות בתאגיד ספציפי לאורך זמן ובין אם במסגרת אחזקות במספר תאגידים</w:t>
      </w:r>
      <w:r>
        <w:rPr>
          <w:rFonts w:cs="David"/>
          <w:rtl/>
          <w:lang w:eastAsia="en-US"/>
        </w:rPr>
        <w:t xml:space="preserve">. </w:t>
      </w:r>
      <w:r>
        <w:rPr>
          <w:rFonts w:cs="David" w:hint="cs"/>
          <w:rtl/>
          <w:lang w:eastAsia="en-US"/>
        </w:rPr>
        <w:t xml:space="preserve">מנקודת מבט תחרותית, מפגשים בין מתחרים המתקיימים לאורך זמן מהווים סביבה בלתי רצויה </w:t>
      </w:r>
      <w:r>
        <w:rPr>
          <w:rFonts w:cs="David"/>
          <w:rtl/>
          <w:lang w:eastAsia="en-US"/>
        </w:rPr>
        <w:t>ביחסי תחרות ויריבות מסחרית</w:t>
      </w:r>
      <w:r>
        <w:rPr>
          <w:rFonts w:cs="David" w:hint="cs"/>
          <w:rtl/>
          <w:lang w:eastAsia="en-US"/>
        </w:rPr>
        <w:t xml:space="preserve"> וקיומו של ערוץ תקשורת מעין זה</w:t>
      </w:r>
      <w:r w:rsidRPr="00EF5F5F">
        <w:rPr>
          <w:rFonts w:cs="David" w:hint="cs"/>
          <w:rtl/>
          <w:lang w:eastAsia="en-US"/>
        </w:rPr>
        <w:t xml:space="preserve"> עלול לחלחל לתחומים נוספים ולהביא להגבלת התחרות בהם.</w:t>
      </w:r>
      <w:r>
        <w:rPr>
          <w:rStyle w:val="FootnoteReference"/>
          <w:rtl/>
          <w:lang w:eastAsia="en-US"/>
        </w:rPr>
        <w:footnoteReference w:id="13"/>
      </w:r>
      <w:r w:rsidRPr="005301AA">
        <w:rPr>
          <w:rFonts w:cs="David" w:hint="cs"/>
          <w:rtl/>
          <w:lang w:eastAsia="en-US"/>
        </w:rPr>
        <w:t xml:space="preserve"> </w:t>
      </w:r>
      <w:r w:rsidRPr="008C4146">
        <w:rPr>
          <w:rFonts w:cs="David"/>
          <w:rtl/>
          <w:lang w:eastAsia="en-US"/>
        </w:rPr>
        <w:t xml:space="preserve"> </w:t>
      </w:r>
    </w:p>
    <w:p w:rsidR="006F7F72" w:rsidRDefault="006F7F72" w:rsidP="004D0AD7">
      <w:pPr>
        <w:spacing w:after="240" w:line="360" w:lineRule="auto"/>
        <w:ind w:left="-58"/>
        <w:jc w:val="both"/>
        <w:rPr>
          <w:rFonts w:cs="David" w:hint="cs"/>
          <w:rtl/>
          <w:lang w:eastAsia="en-US"/>
        </w:rPr>
      </w:pPr>
      <w:r>
        <w:rPr>
          <w:rFonts w:cs="David" w:hint="cs"/>
          <w:rtl/>
          <w:lang w:eastAsia="en-US"/>
        </w:rPr>
        <w:t xml:space="preserve">נוכח האמור, על שיתוף פעולה המבקש לחסות תחת גילוי דעת זה לעמוד בתנאים הבאים: </w:t>
      </w:r>
    </w:p>
    <w:p w:rsidR="006F7F72" w:rsidRDefault="009567A0" w:rsidP="00B56D5B">
      <w:pPr>
        <w:numPr>
          <w:ilvl w:val="0"/>
          <w:numId w:val="18"/>
        </w:numPr>
        <w:spacing w:after="240" w:line="360" w:lineRule="auto"/>
        <w:jc w:val="both"/>
        <w:rPr>
          <w:rFonts w:cs="David" w:hint="cs"/>
          <w:lang w:eastAsia="en-US"/>
        </w:rPr>
      </w:pPr>
      <w:r w:rsidRPr="00140DDB">
        <w:rPr>
          <w:rFonts w:cs="David"/>
          <w:rtl/>
          <w:lang w:eastAsia="en-US"/>
        </w:rPr>
        <w:lastRenderedPageBreak/>
        <w:t xml:space="preserve">לא ייקח </w:t>
      </w:r>
      <w:r>
        <w:rPr>
          <w:rFonts w:cs="David" w:hint="cs"/>
          <w:rtl/>
          <w:lang w:eastAsia="en-US"/>
        </w:rPr>
        <w:t>חלק</w:t>
      </w:r>
      <w:r w:rsidRPr="00140DDB">
        <w:rPr>
          <w:rFonts w:cs="David" w:hint="cs"/>
          <w:rtl/>
          <w:lang w:eastAsia="en-US"/>
        </w:rPr>
        <w:t xml:space="preserve"> </w:t>
      </w:r>
      <w:r w:rsidRPr="00140DDB">
        <w:rPr>
          <w:rFonts w:cs="David"/>
          <w:rtl/>
          <w:lang w:eastAsia="en-US"/>
        </w:rPr>
        <w:t>בשיתוף פעולה</w:t>
      </w:r>
      <w:r>
        <w:rPr>
          <w:rFonts w:cs="David" w:hint="cs"/>
          <w:rtl/>
          <w:lang w:eastAsia="en-US"/>
        </w:rPr>
        <w:t xml:space="preserve"> </w:t>
      </w:r>
      <w:r w:rsidRPr="00140DDB">
        <w:rPr>
          <w:rFonts w:cs="David"/>
          <w:rtl/>
          <w:lang w:eastAsia="en-US"/>
        </w:rPr>
        <w:t xml:space="preserve">מי שהשתתפותו אינה הכרחית לשם הערכת </w:t>
      </w:r>
      <w:r>
        <w:rPr>
          <w:rFonts w:cs="David" w:hint="cs"/>
          <w:rtl/>
          <w:lang w:eastAsia="en-US"/>
        </w:rPr>
        <w:t>הסוגיות לגביהן מתקיים שיתוף הפעולה</w:t>
      </w:r>
      <w:r w:rsidRPr="00140DDB">
        <w:rPr>
          <w:rFonts w:cs="David"/>
          <w:rtl/>
          <w:lang w:eastAsia="en-US"/>
        </w:rPr>
        <w:t xml:space="preserve"> או לשם גיבוש הסכמות </w:t>
      </w:r>
      <w:r>
        <w:rPr>
          <w:rFonts w:cs="David" w:hint="cs"/>
          <w:rtl/>
          <w:lang w:eastAsia="en-US"/>
        </w:rPr>
        <w:t>בין הגופים המוסדיים</w:t>
      </w:r>
      <w:r w:rsidRPr="00140DDB">
        <w:rPr>
          <w:rFonts w:cs="David"/>
          <w:rtl/>
          <w:lang w:eastAsia="en-US"/>
        </w:rPr>
        <w:t>.</w:t>
      </w:r>
      <w:r w:rsidR="003C20F8" w:rsidRPr="003C20F8">
        <w:rPr>
          <w:rtl/>
        </w:rPr>
        <w:t xml:space="preserve"> </w:t>
      </w:r>
    </w:p>
    <w:p w:rsidR="00E86B2F" w:rsidRPr="004D0AD7" w:rsidRDefault="006B39B0" w:rsidP="0000140C">
      <w:pPr>
        <w:numPr>
          <w:ilvl w:val="0"/>
          <w:numId w:val="18"/>
        </w:numPr>
        <w:spacing w:after="240" w:line="360" w:lineRule="auto"/>
        <w:jc w:val="both"/>
        <w:rPr>
          <w:rFonts w:cs="David" w:hint="cs"/>
          <w:rtl/>
          <w:lang w:eastAsia="en-US"/>
        </w:rPr>
      </w:pPr>
      <w:r w:rsidRPr="006F7F72">
        <w:rPr>
          <w:rFonts w:cs="David"/>
          <w:rtl/>
          <w:lang w:eastAsia="en-US"/>
        </w:rPr>
        <w:t>יועבר בין הצדדים אך ורק מידע בקשר ל</w:t>
      </w:r>
      <w:r w:rsidRPr="006F7F72">
        <w:rPr>
          <w:rFonts w:cs="David" w:hint="cs"/>
          <w:rtl/>
          <w:lang w:eastAsia="en-US"/>
        </w:rPr>
        <w:t xml:space="preserve">שיתוף הפעולה </w:t>
      </w:r>
      <w:r w:rsidRPr="006F7F72">
        <w:rPr>
          <w:rFonts w:cs="David"/>
          <w:rtl/>
          <w:lang w:eastAsia="en-US"/>
        </w:rPr>
        <w:t>העומד על הפרק. יש להקפיד על העברת מידע רלוונטי בלבד, באופן הממזער כל חשש להגבלת התחרות בי</w:t>
      </w:r>
      <w:r w:rsidR="000F5300" w:rsidRPr="00142C34">
        <w:rPr>
          <w:rFonts w:cs="David" w:hint="cs"/>
          <w:rtl/>
          <w:lang w:eastAsia="en-US"/>
        </w:rPr>
        <w:t>ן הגופים המוסדיים</w:t>
      </w:r>
      <w:r w:rsidR="008F66AF" w:rsidRPr="00142C34">
        <w:rPr>
          <w:rFonts w:cs="David" w:hint="cs"/>
          <w:rtl/>
          <w:lang w:eastAsia="en-US"/>
        </w:rPr>
        <w:t>.</w:t>
      </w:r>
      <w:r w:rsidRPr="00B0519E">
        <w:rPr>
          <w:rFonts w:cs="David"/>
          <w:b/>
          <w:bCs/>
          <w:rtl/>
          <w:lang w:eastAsia="en-US"/>
        </w:rPr>
        <w:t xml:space="preserve"> </w:t>
      </w:r>
      <w:r w:rsidR="000F5300" w:rsidRPr="00B0519E">
        <w:rPr>
          <w:rFonts w:cs="David" w:hint="cs"/>
          <w:rtl/>
          <w:lang w:eastAsia="en-US"/>
        </w:rPr>
        <w:t>מבלי לגרוע מכלליות האמור</w:t>
      </w:r>
      <w:r w:rsidRPr="00CC719F">
        <w:rPr>
          <w:rFonts w:cs="David"/>
          <w:rtl/>
          <w:lang w:eastAsia="en-US"/>
        </w:rPr>
        <w:t xml:space="preserve">, לא יועבר מידע </w:t>
      </w:r>
      <w:r w:rsidR="00B622FF">
        <w:rPr>
          <w:rFonts w:cs="David" w:hint="cs"/>
          <w:rtl/>
          <w:lang w:eastAsia="en-US"/>
        </w:rPr>
        <w:t xml:space="preserve">שאינו פומבי </w:t>
      </w:r>
      <w:r w:rsidRPr="00CC719F">
        <w:rPr>
          <w:rFonts w:cs="David"/>
          <w:rtl/>
          <w:lang w:eastAsia="en-US"/>
        </w:rPr>
        <w:t xml:space="preserve">ביחס </w:t>
      </w:r>
      <w:r w:rsidRPr="00CC719F">
        <w:rPr>
          <w:rFonts w:cs="David" w:hint="cs"/>
          <w:rtl/>
          <w:lang w:eastAsia="en-US"/>
        </w:rPr>
        <w:t xml:space="preserve">למדיניות </w:t>
      </w:r>
      <w:r w:rsidR="00E24FD9">
        <w:rPr>
          <w:rFonts w:cs="David" w:hint="cs"/>
          <w:rtl/>
          <w:lang w:eastAsia="en-US"/>
        </w:rPr>
        <w:t>ה</w:t>
      </w:r>
      <w:r w:rsidRPr="00CC719F">
        <w:rPr>
          <w:rFonts w:cs="David" w:hint="cs"/>
          <w:rtl/>
          <w:lang w:eastAsia="en-US"/>
        </w:rPr>
        <w:t>השקעה של משקיע מוסדי, בכלל או בגוף ספציפי</w:t>
      </w:r>
      <w:r w:rsidR="000F5300" w:rsidRPr="00CC719F">
        <w:rPr>
          <w:rFonts w:cs="David" w:hint="cs"/>
          <w:rtl/>
          <w:lang w:eastAsia="en-US"/>
        </w:rPr>
        <w:t>, או כל מידע אחר הנוגע</w:t>
      </w:r>
      <w:r w:rsidRPr="00CC719F">
        <w:rPr>
          <w:rFonts w:cs="David" w:hint="cs"/>
          <w:rtl/>
          <w:lang w:eastAsia="en-US"/>
        </w:rPr>
        <w:t xml:space="preserve"> </w:t>
      </w:r>
      <w:r w:rsidR="000F5300" w:rsidRPr="00CC719F">
        <w:rPr>
          <w:rFonts w:cs="David" w:hint="cs"/>
          <w:rtl/>
          <w:lang w:eastAsia="en-US"/>
        </w:rPr>
        <w:t>לתחומי</w:t>
      </w:r>
      <w:r w:rsidR="008F66AF" w:rsidRPr="00CC719F">
        <w:rPr>
          <w:rFonts w:cs="David" w:hint="cs"/>
          <w:rtl/>
          <w:lang w:eastAsia="en-US"/>
        </w:rPr>
        <w:t>ם</w:t>
      </w:r>
      <w:r w:rsidR="000F5300" w:rsidRPr="00CC719F">
        <w:rPr>
          <w:rFonts w:cs="David" w:hint="cs"/>
          <w:rtl/>
          <w:lang w:eastAsia="en-US"/>
        </w:rPr>
        <w:t xml:space="preserve"> </w:t>
      </w:r>
      <w:r w:rsidR="00E24FD9">
        <w:rPr>
          <w:rFonts w:cs="David" w:hint="cs"/>
          <w:rtl/>
          <w:lang w:eastAsia="en-US"/>
        </w:rPr>
        <w:t>ש</w:t>
      </w:r>
      <w:r w:rsidR="008F66AF" w:rsidRPr="00CC719F">
        <w:rPr>
          <w:rFonts w:cs="David" w:hint="cs"/>
          <w:rtl/>
          <w:lang w:eastAsia="en-US"/>
        </w:rPr>
        <w:t>בהם</w:t>
      </w:r>
      <w:r w:rsidR="000F5300" w:rsidRPr="00CC719F">
        <w:rPr>
          <w:rFonts w:cs="David" w:hint="cs"/>
          <w:rtl/>
          <w:lang w:eastAsia="en-US"/>
        </w:rPr>
        <w:t xml:space="preserve"> </w:t>
      </w:r>
      <w:r w:rsidR="00E24FD9" w:rsidRPr="00CC719F">
        <w:rPr>
          <w:rFonts w:cs="David" w:hint="cs"/>
          <w:rtl/>
          <w:lang w:eastAsia="en-US"/>
        </w:rPr>
        <w:t xml:space="preserve">הגופים המוסדיים </w:t>
      </w:r>
      <w:r w:rsidR="008F66AF" w:rsidRPr="00CC719F">
        <w:rPr>
          <w:rFonts w:cs="David" w:hint="cs"/>
          <w:rtl/>
          <w:lang w:eastAsia="en-US"/>
        </w:rPr>
        <w:t>מתחרים ביניהם</w:t>
      </w:r>
      <w:r w:rsidRPr="00CC719F">
        <w:rPr>
          <w:rFonts w:cs="David" w:hint="cs"/>
          <w:rtl/>
          <w:lang w:eastAsia="en-US"/>
        </w:rPr>
        <w:t>.</w:t>
      </w:r>
      <w:r w:rsidR="00E86B2F" w:rsidRPr="00CC719F">
        <w:rPr>
          <w:rFonts w:cs="David" w:hint="cs"/>
          <w:b/>
          <w:bCs/>
          <w:strike/>
          <w:sz w:val="20"/>
          <w:szCs w:val="20"/>
          <w:rtl/>
          <w:lang w:eastAsia="en-US"/>
        </w:rPr>
        <w:t xml:space="preserve"> </w:t>
      </w:r>
    </w:p>
    <w:sectPr w:rsidR="00E86B2F" w:rsidRPr="004D0AD7" w:rsidSect="00E17599">
      <w:headerReference w:type="even" r:id="rId8"/>
      <w:headerReference w:type="default"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0E6" w:rsidRDefault="00F450E6">
      <w:r>
        <w:separator/>
      </w:r>
    </w:p>
  </w:endnote>
  <w:endnote w:type="continuationSeparator" w:id="0">
    <w:p w:rsidR="00F450E6" w:rsidRDefault="00F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599" w:rsidRDefault="008438A2">
    <w:pPr>
      <w:pStyle w:val="Footer"/>
    </w:pPr>
    <w:r>
      <w:rPr>
        <w:noProof/>
        <w:lang w:eastAsia="en-US"/>
      </w:rPr>
      <w:drawing>
        <wp:anchor distT="0" distB="0" distL="114300" distR="114300" simplePos="0" relativeHeight="251665408" behindDoc="1" locked="0" layoutInCell="1" allowOverlap="1">
          <wp:simplePos x="0" y="0"/>
          <wp:positionH relativeFrom="margin">
            <wp:posOffset>1143000</wp:posOffset>
          </wp:positionH>
          <wp:positionV relativeFrom="paragraph">
            <wp:posOffset>8955405</wp:posOffset>
          </wp:positionV>
          <wp:extent cx="4445635" cy="803910"/>
          <wp:effectExtent l="0" t="0" r="0" b="0"/>
          <wp:wrapNone/>
          <wp:docPr id="21"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635" cy="803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2336" behindDoc="1" locked="0" layoutInCell="1" allowOverlap="1">
          <wp:simplePos x="0" y="0"/>
          <wp:positionH relativeFrom="margin">
            <wp:posOffset>1143000</wp:posOffset>
          </wp:positionH>
          <wp:positionV relativeFrom="paragraph">
            <wp:posOffset>8955405</wp:posOffset>
          </wp:positionV>
          <wp:extent cx="4445635" cy="803910"/>
          <wp:effectExtent l="0" t="0" r="0" b="0"/>
          <wp:wrapNone/>
          <wp:docPr id="18"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635" cy="803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3360" behindDoc="1" locked="0" layoutInCell="1" allowOverlap="1">
          <wp:simplePos x="0" y="0"/>
          <wp:positionH relativeFrom="margin">
            <wp:posOffset>1143000</wp:posOffset>
          </wp:positionH>
          <wp:positionV relativeFrom="paragraph">
            <wp:posOffset>8955405</wp:posOffset>
          </wp:positionV>
          <wp:extent cx="4445635" cy="803910"/>
          <wp:effectExtent l="0" t="0" r="0" b="0"/>
          <wp:wrapNone/>
          <wp:docPr id="19"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635" cy="803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4384" behindDoc="1" locked="0" layoutInCell="1" allowOverlap="1">
          <wp:simplePos x="0" y="0"/>
          <wp:positionH relativeFrom="margin">
            <wp:posOffset>1143000</wp:posOffset>
          </wp:positionH>
          <wp:positionV relativeFrom="paragraph">
            <wp:posOffset>8955405</wp:posOffset>
          </wp:positionV>
          <wp:extent cx="4445635" cy="803910"/>
          <wp:effectExtent l="0" t="0" r="0" b="0"/>
          <wp:wrapNone/>
          <wp:docPr id="20"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635" cy="8039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7599" w:rsidRPr="009B4FAD" w:rsidRDefault="00E17599" w:rsidP="00E17599">
    <w:pPr>
      <w:pStyle w:val="Footer"/>
      <w:tabs>
        <w:tab w:val="clear" w:pos="4153"/>
        <w:tab w:val="clear" w:pos="8306"/>
        <w:tab w:val="left" w:pos="4936"/>
      </w:tabs>
      <w:rPr>
        <w:rFonts w:cs="David" w:hint="c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599" w:rsidRDefault="008438A2" w:rsidP="00E17599">
    <w:pPr>
      <w:pStyle w:val="Footer"/>
      <w:tabs>
        <w:tab w:val="clear" w:pos="4153"/>
        <w:tab w:val="clear" w:pos="8306"/>
        <w:tab w:val="left" w:pos="2126"/>
      </w:tabs>
    </w:pPr>
    <w:r>
      <w:rPr>
        <w:noProof/>
        <w:lang w:eastAsia="en-US"/>
      </w:rPr>
      <w:drawing>
        <wp:anchor distT="0" distB="0" distL="114300" distR="114300" simplePos="0" relativeHeight="251655168" behindDoc="1" locked="0" layoutInCell="1" allowOverlap="1">
          <wp:simplePos x="0" y="0"/>
          <wp:positionH relativeFrom="margin">
            <wp:posOffset>-33655</wp:posOffset>
          </wp:positionH>
          <wp:positionV relativeFrom="paragraph">
            <wp:posOffset>9296400</wp:posOffset>
          </wp:positionV>
          <wp:extent cx="7589520" cy="1372870"/>
          <wp:effectExtent l="0" t="0" r="0" b="0"/>
          <wp:wrapNone/>
          <wp:docPr id="8"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54144" behindDoc="1" locked="0" layoutInCell="1" allowOverlap="1">
          <wp:simplePos x="0" y="0"/>
          <wp:positionH relativeFrom="margin">
            <wp:posOffset>-33655</wp:posOffset>
          </wp:positionH>
          <wp:positionV relativeFrom="paragraph">
            <wp:posOffset>9296400</wp:posOffset>
          </wp:positionV>
          <wp:extent cx="7589520" cy="1372870"/>
          <wp:effectExtent l="0" t="0" r="0" b="0"/>
          <wp:wrapNone/>
          <wp:docPr id="7"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53120" behindDoc="1" locked="0" layoutInCell="1" allowOverlap="1">
          <wp:simplePos x="0" y="0"/>
          <wp:positionH relativeFrom="margin">
            <wp:posOffset>-33655</wp:posOffset>
          </wp:positionH>
          <wp:positionV relativeFrom="paragraph">
            <wp:posOffset>9296400</wp:posOffset>
          </wp:positionV>
          <wp:extent cx="7589520" cy="1372870"/>
          <wp:effectExtent l="0" t="0" r="0" b="0"/>
          <wp:wrapNone/>
          <wp:docPr id="6"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7599">
      <w:tab/>
    </w:r>
    <w:r>
      <w:rPr>
        <w:noProof/>
        <w:lang w:eastAsia="en-US"/>
      </w:rPr>
      <w:drawing>
        <wp:anchor distT="0" distB="0" distL="114300" distR="114300" simplePos="0" relativeHeight="251656192" behindDoc="1" locked="0" layoutInCell="1" allowOverlap="1">
          <wp:simplePos x="0" y="0"/>
          <wp:positionH relativeFrom="margin">
            <wp:posOffset>-33655</wp:posOffset>
          </wp:positionH>
          <wp:positionV relativeFrom="paragraph">
            <wp:posOffset>9296400</wp:posOffset>
          </wp:positionV>
          <wp:extent cx="7589520" cy="1372870"/>
          <wp:effectExtent l="0" t="0" r="0" b="0"/>
          <wp:wrapNone/>
          <wp:docPr id="9"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57216" behindDoc="1" locked="0" layoutInCell="1" allowOverlap="1">
          <wp:simplePos x="0" y="0"/>
          <wp:positionH relativeFrom="margin">
            <wp:posOffset>-33655</wp:posOffset>
          </wp:positionH>
          <wp:positionV relativeFrom="paragraph">
            <wp:posOffset>9296400</wp:posOffset>
          </wp:positionV>
          <wp:extent cx="7589520" cy="1372870"/>
          <wp:effectExtent l="0" t="0" r="0" b="0"/>
          <wp:wrapNone/>
          <wp:docPr id="10"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58240" behindDoc="1" locked="0" layoutInCell="1" allowOverlap="1">
          <wp:simplePos x="0" y="0"/>
          <wp:positionH relativeFrom="margin">
            <wp:posOffset>-33655</wp:posOffset>
          </wp:positionH>
          <wp:positionV relativeFrom="paragraph">
            <wp:posOffset>9296400</wp:posOffset>
          </wp:positionV>
          <wp:extent cx="7589520" cy="1372870"/>
          <wp:effectExtent l="0" t="0" r="0" b="0"/>
          <wp:wrapNone/>
          <wp:docPr id="11"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59264" behindDoc="1" locked="0" layoutInCell="1" allowOverlap="1">
          <wp:simplePos x="0" y="0"/>
          <wp:positionH relativeFrom="margin">
            <wp:posOffset>-33655</wp:posOffset>
          </wp:positionH>
          <wp:positionV relativeFrom="paragraph">
            <wp:posOffset>9296400</wp:posOffset>
          </wp:positionV>
          <wp:extent cx="7589520" cy="1372870"/>
          <wp:effectExtent l="0" t="0" r="0" b="0"/>
          <wp:wrapNone/>
          <wp:docPr id="12"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1" locked="0" layoutInCell="1" allowOverlap="1">
          <wp:simplePos x="0" y="0"/>
          <wp:positionH relativeFrom="margin">
            <wp:posOffset>-573405</wp:posOffset>
          </wp:positionH>
          <wp:positionV relativeFrom="paragraph">
            <wp:posOffset>9372600</wp:posOffset>
          </wp:positionV>
          <wp:extent cx="7589520" cy="1372870"/>
          <wp:effectExtent l="0" t="0" r="0" b="0"/>
          <wp:wrapNone/>
          <wp:docPr id="1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9520" cy="13728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0E6" w:rsidRDefault="00F450E6">
      <w:r>
        <w:separator/>
      </w:r>
    </w:p>
  </w:footnote>
  <w:footnote w:type="continuationSeparator" w:id="0">
    <w:p w:rsidR="00F450E6" w:rsidRDefault="00F450E6">
      <w:r>
        <w:continuationSeparator/>
      </w:r>
    </w:p>
  </w:footnote>
  <w:footnote w:id="1">
    <w:p w:rsidR="00215D1E" w:rsidRDefault="00215D1E" w:rsidP="00B627AB">
      <w:pPr>
        <w:pStyle w:val="FootnoteText"/>
        <w:bidi/>
        <w:jc w:val="both"/>
      </w:pPr>
      <w:r>
        <w:rPr>
          <w:rStyle w:val="FootnoteReference"/>
        </w:rPr>
        <w:footnoteRef/>
      </w:r>
      <w:r>
        <w:rPr>
          <w:rFonts w:hint="cs"/>
          <w:rtl/>
        </w:rPr>
        <w:t xml:space="preserve"> </w:t>
      </w:r>
      <w:r>
        <w:rPr>
          <w:rtl/>
        </w:rPr>
        <w:t xml:space="preserve">דו"ח </w:t>
      </w:r>
      <w:r w:rsidRPr="006252F7">
        <w:rPr>
          <w:b/>
          <w:bCs/>
          <w:rtl/>
        </w:rPr>
        <w:t>ועדת גושן</w:t>
      </w:r>
      <w:r>
        <w:rPr>
          <w:rtl/>
        </w:rPr>
        <w:t>, עמ' 29.</w:t>
      </w:r>
    </w:p>
  </w:footnote>
  <w:footnote w:id="2">
    <w:p w:rsidR="00215D1E" w:rsidRDefault="00215D1E" w:rsidP="00B627AB">
      <w:pPr>
        <w:pStyle w:val="FootnoteText"/>
        <w:bidi/>
        <w:jc w:val="both"/>
      </w:pPr>
      <w:r w:rsidRPr="006252F7">
        <w:rPr>
          <w:rStyle w:val="FootnoteReference"/>
        </w:rPr>
        <w:footnoteRef/>
      </w:r>
      <w:r w:rsidRPr="006252F7">
        <w:rPr>
          <w:rtl/>
        </w:rPr>
        <w:t xml:space="preserve"> </w:t>
      </w:r>
      <w:r w:rsidRPr="006252F7">
        <w:rPr>
          <w:rFonts w:hint="cs"/>
          <w:rtl/>
        </w:rPr>
        <w:t xml:space="preserve">ראו למשל הוראות </w:t>
      </w:r>
      <w:r w:rsidRPr="006252F7">
        <w:rPr>
          <w:rtl/>
        </w:rPr>
        <w:t>חוק החברות</w:t>
      </w:r>
      <w:r w:rsidRPr="006252F7">
        <w:rPr>
          <w:rFonts w:hint="cs"/>
          <w:rtl/>
        </w:rPr>
        <w:t xml:space="preserve"> בדבר רוב </w:t>
      </w:r>
      <w:r>
        <w:rPr>
          <w:rFonts w:hint="cs"/>
          <w:rtl/>
        </w:rPr>
        <w:t>מקרב בעלי מניות</w:t>
      </w:r>
      <w:r w:rsidRPr="006252F7">
        <w:rPr>
          <w:rFonts w:hint="cs"/>
          <w:rtl/>
        </w:rPr>
        <w:t xml:space="preserve"> </w:t>
      </w:r>
      <w:r>
        <w:rPr>
          <w:rFonts w:hint="cs"/>
          <w:rtl/>
        </w:rPr>
        <w:t>ה</w:t>
      </w:r>
      <w:r w:rsidRPr="006252F7">
        <w:rPr>
          <w:rFonts w:hint="cs"/>
          <w:rtl/>
        </w:rPr>
        <w:t xml:space="preserve">מיעוט </w:t>
      </w:r>
      <w:r>
        <w:rPr>
          <w:rFonts w:hint="cs"/>
          <w:rtl/>
        </w:rPr>
        <w:t xml:space="preserve">לצורך </w:t>
      </w:r>
      <w:r w:rsidRPr="006252F7">
        <w:rPr>
          <w:rFonts w:hint="cs"/>
          <w:rtl/>
        </w:rPr>
        <w:t xml:space="preserve">אישור עסקה חריגה ועסקה עם בעל השליטה בסעיפים 270 (4) ו- 275(א)(3); בדבר הרוב הדרוש מבעלי מניות המיעוט למינוי דירקטור חיצוני, בסעיף 239(ב) </w:t>
      </w:r>
      <w:r>
        <w:rPr>
          <w:rFonts w:hint="cs"/>
          <w:rtl/>
        </w:rPr>
        <w:t>ו</w:t>
      </w:r>
      <w:r w:rsidRPr="006252F7">
        <w:rPr>
          <w:rFonts w:hint="cs"/>
          <w:rtl/>
        </w:rPr>
        <w:t xml:space="preserve">בדבר הרוב הדרוש לאישור מדיניות תגמול בחברה, בסעיף 267(ב). </w:t>
      </w:r>
    </w:p>
  </w:footnote>
  <w:footnote w:id="3">
    <w:p w:rsidR="008155FF" w:rsidRPr="00821260" w:rsidRDefault="008155FF" w:rsidP="00821260">
      <w:pPr>
        <w:pStyle w:val="FootnoteText"/>
        <w:bidi/>
        <w:ind w:hanging="58"/>
        <w:jc w:val="both"/>
        <w:rPr>
          <w:rFonts w:hint="cs"/>
          <w:rtl/>
        </w:rPr>
      </w:pPr>
      <w:r>
        <w:rPr>
          <w:rStyle w:val="FootnoteReference"/>
        </w:rPr>
        <w:footnoteRef/>
      </w:r>
      <w:r>
        <w:rPr>
          <w:rtl/>
        </w:rPr>
        <w:t xml:space="preserve"> </w:t>
      </w:r>
      <w:r>
        <w:rPr>
          <w:rFonts w:hint="cs"/>
          <w:rtl/>
        </w:rPr>
        <w:t xml:space="preserve">ר' </w:t>
      </w:r>
      <w:r>
        <w:rPr>
          <w:rtl/>
        </w:rPr>
        <w:t xml:space="preserve">דו"ח הצוות הבין-משרדי לעניין רפורמה בשוק ההון, ספטמבר 2004, פורסם באתר משרד האוצר: </w:t>
      </w:r>
      <w:hyperlink r:id="rId1" w:history="1">
        <w:r w:rsidRPr="00CC6BFD">
          <w:rPr>
            <w:rStyle w:val="Hyperlink"/>
          </w:rPr>
          <w:t>www.finance.gov.il/bachar/pdf/bacharFullReport.pdf</w:t>
        </w:r>
      </w:hyperlink>
      <w:r>
        <w:rPr>
          <w:rFonts w:hint="cs"/>
          <w:rtl/>
        </w:rPr>
        <w:t xml:space="preserve">; </w:t>
      </w:r>
      <w:r>
        <w:rPr>
          <w:rtl/>
          <w:lang w:eastAsia="en-US"/>
        </w:rPr>
        <w:t>דו"ח הועדה לבחינת קוד ממשל תאגידי (</w:t>
      </w:r>
      <w:r>
        <w:rPr>
          <w:lang w:eastAsia="en-US"/>
        </w:rPr>
        <w:t>Corporate Governance</w:t>
      </w:r>
      <w:r>
        <w:rPr>
          <w:rtl/>
          <w:lang w:eastAsia="en-US"/>
        </w:rPr>
        <w:t xml:space="preserve">) בישראל, 12 בדצמבר 2006 (להלן </w:t>
      </w:r>
      <w:r w:rsidRPr="00D066CF">
        <w:rPr>
          <w:b/>
          <w:bCs/>
          <w:rtl/>
          <w:lang w:eastAsia="en-US"/>
        </w:rPr>
        <w:t>דו"ח ועדת גושן</w:t>
      </w:r>
      <w:r>
        <w:rPr>
          <w:rtl/>
          <w:lang w:eastAsia="en-US"/>
        </w:rPr>
        <w:t xml:space="preserve">), פורסם באתר רשות ניירות ערך: </w:t>
      </w:r>
      <w:hyperlink r:id="rId2" w:history="1">
        <w:r w:rsidRPr="00A4374B">
          <w:rPr>
            <w:rStyle w:val="Hyperlink"/>
            <w:rFonts w:cs="David"/>
          </w:rPr>
          <w:t>www.isa.gov.il/Download/IsaFile_45.pdf</w:t>
        </w:r>
      </w:hyperlink>
      <w:r>
        <w:rPr>
          <w:rFonts w:hint="cs"/>
          <w:rtl/>
        </w:rPr>
        <w:t>;</w:t>
      </w:r>
      <w:r w:rsidRPr="00CC6BFD">
        <w:rPr>
          <w:rtl/>
        </w:rPr>
        <w:t xml:space="preserve"> </w:t>
      </w:r>
      <w:r>
        <w:rPr>
          <w:rtl/>
        </w:rPr>
        <w:t xml:space="preserve">דו"ח הועדה לבחינת הצעדים הדרושים להגברת מעורבות הגופים המוסדיים בשוק ההון בישראל, שבט תשס"ח, ינואר </w:t>
      </w:r>
      <w:r>
        <w:rPr>
          <w:rFonts w:hint="cs"/>
          <w:rtl/>
        </w:rPr>
        <w:t>(</w:t>
      </w:r>
      <w:r>
        <w:rPr>
          <w:rtl/>
        </w:rPr>
        <w:t>להלן</w:t>
      </w:r>
      <w:r>
        <w:rPr>
          <w:rFonts w:hint="cs"/>
          <w:b/>
          <w:bCs/>
          <w:rtl/>
        </w:rPr>
        <w:t xml:space="preserve"> </w:t>
      </w:r>
      <w:r w:rsidRPr="001F7112">
        <w:rPr>
          <w:b/>
          <w:bCs/>
          <w:rtl/>
        </w:rPr>
        <w:t>דו"ח</w:t>
      </w:r>
      <w:r>
        <w:rPr>
          <w:rtl/>
        </w:rPr>
        <w:t xml:space="preserve"> </w:t>
      </w:r>
      <w:r w:rsidRPr="000A210F">
        <w:rPr>
          <w:b/>
          <w:bCs/>
          <w:rtl/>
        </w:rPr>
        <w:t>ועדת חמדני</w:t>
      </w:r>
      <w:r>
        <w:rPr>
          <w:rtl/>
        </w:rPr>
        <w:t>)</w:t>
      </w:r>
      <w:r>
        <w:rPr>
          <w:rFonts w:hint="cs"/>
          <w:rtl/>
        </w:rPr>
        <w:t xml:space="preserve"> </w:t>
      </w:r>
      <w:r>
        <w:rPr>
          <w:rtl/>
        </w:rPr>
        <w:t>2008, פורסם באתר משרד האוצר</w:t>
      </w:r>
      <w:r w:rsidR="00B04F1E">
        <w:t>;</w:t>
      </w:r>
      <w:r w:rsidR="00B04F1E">
        <w:rPr>
          <w:rtl/>
        </w:rPr>
        <w:t xml:space="preserve"> </w:t>
      </w:r>
      <w:r>
        <w:rPr>
          <w:rFonts w:hint="cs"/>
          <w:rtl/>
        </w:rPr>
        <w:t xml:space="preserve">ודו"ח הוועדה לקביעת פרמטרים להתייחסות גופים מוסדיים המעמידים אשראי באמצעות רכישת אגרות חוב לא ממשלתיות </w:t>
      </w:r>
      <w:r>
        <w:rPr>
          <w:rFonts w:hint="cs"/>
          <w:b/>
          <w:bCs/>
          <w:rtl/>
        </w:rPr>
        <w:t xml:space="preserve"> </w:t>
      </w:r>
      <w:r>
        <w:rPr>
          <w:rFonts w:hint="cs"/>
          <w:rtl/>
        </w:rPr>
        <w:t>פורסם ביום 23.2.2010 (להלן</w:t>
      </w:r>
      <w:r>
        <w:rPr>
          <w:rFonts w:hint="cs"/>
          <w:b/>
          <w:bCs/>
          <w:rtl/>
        </w:rPr>
        <w:t xml:space="preserve"> דו"ח ועדת חודק)</w:t>
      </w:r>
      <w:r>
        <w:rPr>
          <w:rFonts w:hint="cs"/>
          <w:rtl/>
        </w:rPr>
        <w:t>, פורסם באתר משרד האוצר</w:t>
      </w:r>
      <w:r w:rsidR="00821260">
        <w:rPr>
          <w:rFonts w:hint="cs"/>
          <w:rtl/>
        </w:rPr>
        <w:t>.</w:t>
      </w:r>
    </w:p>
  </w:footnote>
  <w:footnote w:id="4">
    <w:p w:rsidR="008155FF" w:rsidRPr="00210C07" w:rsidRDefault="008155FF" w:rsidP="008155FF">
      <w:pPr>
        <w:pStyle w:val="FootnoteText"/>
        <w:bidi/>
        <w:jc w:val="both"/>
        <w:rPr>
          <w:rFonts w:hint="cs"/>
          <w:rtl/>
        </w:rPr>
      </w:pPr>
      <w:r>
        <w:rPr>
          <w:rStyle w:val="FootnoteReference"/>
        </w:rPr>
        <w:footnoteRef/>
      </w:r>
      <w:r>
        <w:rPr>
          <w:rtl/>
        </w:rPr>
        <w:t xml:space="preserve"> </w:t>
      </w:r>
      <w:r>
        <w:rPr>
          <w:rFonts w:hint="cs"/>
          <w:rtl/>
        </w:rPr>
        <w:t>ר' דו"ח ה-</w:t>
      </w:r>
      <w:r>
        <w:t>OECD</w:t>
      </w:r>
      <w:r>
        <w:rPr>
          <w:rFonts w:hint="cs"/>
          <w:rtl/>
        </w:rPr>
        <w:t xml:space="preserve"> </w:t>
      </w:r>
      <w:r>
        <w:rPr>
          <w:rtl/>
        </w:rPr>
        <w:t>–</w:t>
      </w:r>
      <w:r>
        <w:rPr>
          <w:rFonts w:hint="cs"/>
          <w:rtl/>
        </w:rPr>
        <w:t xml:space="preserve"> </w:t>
      </w:r>
      <w:r>
        <w:t>G20 – OECD Principles of Corporate Governance, OECD Report to G20 Finance Ministers and Central Bank Governors</w:t>
      </w:r>
      <w:r>
        <w:rPr>
          <w:rFonts w:hint="cs"/>
          <w:rtl/>
        </w:rPr>
        <w:t xml:space="preserve">, (2015). ניתן למצוא בקישור: </w:t>
      </w:r>
      <w:hyperlink r:id="rId3" w:history="1">
        <w:r w:rsidRPr="0046577A">
          <w:rPr>
            <w:rStyle w:val="Hyperlink"/>
            <w:rFonts w:cs="David"/>
          </w:rPr>
          <w:t>www.oecd.org/daf/ca/Corporate-Governance-Principles-ENG.pdf</w:t>
        </w:r>
      </w:hyperlink>
      <w:r>
        <w:rPr>
          <w:rFonts w:hint="cs"/>
          <w:rtl/>
        </w:rPr>
        <w:t xml:space="preserve"> </w:t>
      </w:r>
    </w:p>
  </w:footnote>
  <w:footnote w:id="5">
    <w:p w:rsidR="00215D1E" w:rsidRDefault="00215D1E" w:rsidP="007E6722">
      <w:pPr>
        <w:pStyle w:val="FootnoteText"/>
        <w:bidi/>
        <w:jc w:val="both"/>
      </w:pPr>
      <w:r>
        <w:rPr>
          <w:rStyle w:val="FootnoteReference"/>
        </w:rPr>
        <w:footnoteRef/>
      </w:r>
      <w:r>
        <w:rPr>
          <w:rtl/>
        </w:rPr>
        <w:t xml:space="preserve"> </w:t>
      </w:r>
      <w:r w:rsidR="008155FF">
        <w:rPr>
          <w:rFonts w:hint="cs"/>
          <w:rtl/>
        </w:rPr>
        <w:t xml:space="preserve">ר' תקנות הפיקוח </w:t>
      </w:r>
      <w:r w:rsidR="00145234">
        <w:rPr>
          <w:rFonts w:hint="cs"/>
          <w:rtl/>
        </w:rPr>
        <w:t xml:space="preserve">על שירותים פיננסים (קופות גמל) (כללי השקעה החלים על גופים מוסדיים), תשע"ב </w:t>
      </w:r>
      <w:r w:rsidR="00145234">
        <w:rPr>
          <w:rtl/>
        </w:rPr>
        <w:t>–</w:t>
      </w:r>
      <w:r w:rsidR="00145234">
        <w:rPr>
          <w:rFonts w:hint="cs"/>
          <w:rtl/>
        </w:rPr>
        <w:t xml:space="preserve"> 2012.</w:t>
      </w:r>
    </w:p>
  </w:footnote>
  <w:footnote w:id="6">
    <w:p w:rsidR="00215D1E" w:rsidRDefault="00215D1E" w:rsidP="00B627AB">
      <w:pPr>
        <w:pStyle w:val="FootnoteText"/>
        <w:bidi/>
        <w:jc w:val="both"/>
        <w:rPr>
          <w:rFonts w:hint="cs"/>
          <w:rtl/>
        </w:rPr>
      </w:pPr>
      <w:r>
        <w:rPr>
          <w:rStyle w:val="FootnoteReference"/>
        </w:rPr>
        <w:footnoteRef/>
      </w:r>
      <w:r>
        <w:rPr>
          <w:rtl/>
        </w:rPr>
        <w:t xml:space="preserve"> </w:t>
      </w:r>
      <w:r>
        <w:rPr>
          <w:rtl/>
        </w:rPr>
        <w:t xml:space="preserve">דו"ח </w:t>
      </w:r>
      <w:r w:rsidRPr="006252F7">
        <w:rPr>
          <w:b/>
          <w:bCs/>
          <w:rtl/>
        </w:rPr>
        <w:t>ועדת גושן</w:t>
      </w:r>
      <w:r>
        <w:rPr>
          <w:rtl/>
        </w:rPr>
        <w:t>, עמ' 38, סע' 5.1.</w:t>
      </w:r>
    </w:p>
  </w:footnote>
  <w:footnote w:id="7">
    <w:p w:rsidR="00215D1E" w:rsidRDefault="00215D1E" w:rsidP="00B627AB">
      <w:pPr>
        <w:pStyle w:val="FootnoteText"/>
        <w:bidi/>
        <w:jc w:val="both"/>
      </w:pPr>
      <w:r>
        <w:rPr>
          <w:rStyle w:val="FootnoteReference"/>
        </w:rPr>
        <w:footnoteRef/>
      </w:r>
      <w:r>
        <w:rPr>
          <w:rtl/>
        </w:rPr>
        <w:t xml:space="preserve"> </w:t>
      </w:r>
      <w:r>
        <w:rPr>
          <w:rtl/>
          <w:lang w:eastAsia="en-US"/>
        </w:rPr>
        <w:t>לגופים מוסדיים המחזיקים ולו בשיעור החזקות נמוך, עשויה להיות השפעה מרסנת על הנהלת החברה</w:t>
      </w:r>
      <w:r>
        <w:rPr>
          <w:rtl/>
        </w:rPr>
        <w:t xml:space="preserve">, ראו פרק 5.1 לדו"ח </w:t>
      </w:r>
      <w:r w:rsidRPr="006252F7">
        <w:rPr>
          <w:b/>
          <w:bCs/>
          <w:rtl/>
        </w:rPr>
        <w:t>ועדת גושן</w:t>
      </w:r>
      <w:r>
        <w:rPr>
          <w:rtl/>
        </w:rPr>
        <w:t xml:space="preserve">, עמ' 38. </w:t>
      </w:r>
    </w:p>
  </w:footnote>
  <w:footnote w:id="8">
    <w:p w:rsidR="00215D1E" w:rsidRPr="00093B5E" w:rsidRDefault="00215D1E" w:rsidP="0039075B">
      <w:pPr>
        <w:pStyle w:val="FootnoteText"/>
        <w:bidi/>
        <w:jc w:val="both"/>
        <w:rPr>
          <w:rFonts w:hint="cs"/>
          <w:rtl/>
        </w:rPr>
      </w:pPr>
      <w:r>
        <w:rPr>
          <w:rStyle w:val="FootnoteReference"/>
        </w:rPr>
        <w:footnoteRef/>
      </w:r>
      <w:r>
        <w:t xml:space="preserve"> </w:t>
      </w:r>
      <w:r>
        <w:rPr>
          <w:rFonts w:hint="cs"/>
          <w:rtl/>
        </w:rPr>
        <w:t xml:space="preserve">  </w:t>
      </w:r>
      <w:r>
        <w:rPr>
          <w:rFonts w:hint="cs"/>
          <w:rtl/>
        </w:rPr>
        <w:t>לעניין זה קיימות הוראות דין שונות, הנוגעות למכשירי השקעה שונים</w:t>
      </w:r>
      <w:r w:rsidR="00C471A4">
        <w:rPr>
          <w:rFonts w:hint="cs"/>
          <w:rtl/>
        </w:rPr>
        <w:t xml:space="preserve">. </w:t>
      </w:r>
      <w:r w:rsidRPr="00093B5E">
        <w:rPr>
          <w:rtl/>
        </w:rPr>
        <w:t xml:space="preserve">ראו למשל </w:t>
      </w:r>
      <w:r>
        <w:rPr>
          <w:rFonts w:hint="cs"/>
          <w:rtl/>
        </w:rPr>
        <w:t>סעיף 2(8)  ל</w:t>
      </w:r>
      <w:r w:rsidRPr="00093B5E">
        <w:rPr>
          <w:rtl/>
        </w:rPr>
        <w:t>תקנות הפיקוח על שירותים פיננסיים (קופות גמל) (השתתפות חברה מנהלת באסיפה כללית), התשס"ט-2009</w:t>
      </w:r>
      <w:r>
        <w:rPr>
          <w:rFonts w:hint="cs"/>
          <w:rtl/>
        </w:rPr>
        <w:t>;</w:t>
      </w:r>
      <w:r w:rsidR="002840C7" w:rsidRPr="00E63CB9">
        <w:rPr>
          <w:rtl/>
        </w:rPr>
        <w:t xml:space="preserve"> פרק 4 לחלק 2 בשער 5 לחוזר המאוחד</w:t>
      </w:r>
      <w:r w:rsidR="002840C7">
        <w:rPr>
          <w:rFonts w:hint="cs"/>
          <w:rtl/>
        </w:rPr>
        <w:t>, רשות שוק ההון, ביטוח וחיסכון</w:t>
      </w:r>
      <w:r w:rsidR="00E63CB9">
        <w:rPr>
          <w:rFonts w:hint="cs"/>
          <w:rtl/>
        </w:rPr>
        <w:t xml:space="preserve"> (להלן </w:t>
      </w:r>
      <w:r w:rsidR="00E63CB9">
        <w:rPr>
          <w:rFonts w:hint="cs"/>
          <w:b/>
          <w:bCs/>
          <w:rtl/>
        </w:rPr>
        <w:t>החוזר המאוחד</w:t>
      </w:r>
      <w:r w:rsidR="00E63CB9">
        <w:rPr>
          <w:rFonts w:hint="cs"/>
          <w:rtl/>
        </w:rPr>
        <w:t>)</w:t>
      </w:r>
      <w:r>
        <w:rPr>
          <w:rFonts w:hint="cs"/>
          <w:rtl/>
        </w:rPr>
        <w:t xml:space="preserve">; </w:t>
      </w:r>
      <w:r w:rsidRPr="00093B5E">
        <w:rPr>
          <w:rtl/>
        </w:rPr>
        <w:t>סע' 77 לחוק השקעות משותפות בנאמנות, תשנ"ד – 1994</w:t>
      </w:r>
      <w:r w:rsidR="0039075B">
        <w:rPr>
          <w:rFonts w:hint="cs"/>
          <w:rtl/>
        </w:rPr>
        <w:t>;</w:t>
      </w:r>
      <w:r w:rsidRPr="00093B5E">
        <w:rPr>
          <w:rtl/>
        </w:rPr>
        <w:t xml:space="preserve"> כן ראו דו"ח ועדת חמדני, עמ' 7-9.</w:t>
      </w:r>
    </w:p>
  </w:footnote>
  <w:footnote w:id="9">
    <w:p w:rsidR="00215D1E" w:rsidRDefault="00215D1E" w:rsidP="00B627AB">
      <w:pPr>
        <w:pStyle w:val="FootnoteText"/>
        <w:bidi/>
        <w:jc w:val="both"/>
        <w:rPr>
          <w:rFonts w:hint="cs"/>
          <w:rtl/>
        </w:rPr>
      </w:pPr>
      <w:r>
        <w:rPr>
          <w:rStyle w:val="FootnoteReference"/>
        </w:rPr>
        <w:footnoteRef/>
      </w:r>
      <w:r>
        <w:rPr>
          <w:rtl/>
        </w:rPr>
        <w:t xml:space="preserve"> </w:t>
      </w:r>
      <w:r>
        <w:rPr>
          <w:rtl/>
          <w:lang w:eastAsia="en-US"/>
        </w:rPr>
        <w:t>כך למשל</w:t>
      </w:r>
      <w:r w:rsidRPr="003F36F4">
        <w:rPr>
          <w:rtl/>
          <w:lang w:eastAsia="en-US"/>
        </w:rPr>
        <w:t xml:space="preserve">, </w:t>
      </w:r>
      <w:r w:rsidRPr="003F36F4">
        <w:rPr>
          <w:rtl/>
        </w:rPr>
        <w:t>הטמעתה של נורמת השתתפות פעילה בקרב הגופים המוסדיים</w:t>
      </w:r>
      <w:r>
        <w:rPr>
          <w:rtl/>
        </w:rPr>
        <w:t>,</w:t>
      </w:r>
      <w:r w:rsidRPr="003F36F4">
        <w:rPr>
          <w:rtl/>
        </w:rPr>
        <w:t xml:space="preserve"> עשויה להרתיע מראש את הנהלת החברה מלהעלות להצבעה הצעות בעיתיות או נגועות בניגוד עניינים. </w:t>
      </w:r>
      <w:r>
        <w:rPr>
          <w:rtl/>
        </w:rPr>
        <w:t xml:space="preserve">דו"ח </w:t>
      </w:r>
      <w:r w:rsidRPr="006252F7">
        <w:rPr>
          <w:b/>
          <w:bCs/>
          <w:rtl/>
        </w:rPr>
        <w:t>ועדת חמדני</w:t>
      </w:r>
      <w:r w:rsidRPr="003F36F4">
        <w:rPr>
          <w:rtl/>
        </w:rPr>
        <w:t>, עמ' 9</w:t>
      </w:r>
      <w:r>
        <w:rPr>
          <w:rFonts w:hint="cs"/>
          <w:rtl/>
        </w:rPr>
        <w:t xml:space="preserve">; כמו </w:t>
      </w:r>
      <w:r w:rsidRPr="004C0516">
        <w:rPr>
          <w:rFonts w:hint="cs"/>
          <w:rtl/>
        </w:rPr>
        <w:t xml:space="preserve">כן ר' ש.האוזר, י.רוזנברג וש. אופיר, </w:t>
      </w:r>
      <w:r w:rsidRPr="006252F7">
        <w:rPr>
          <w:rFonts w:hint="cs"/>
          <w:b/>
          <w:bCs/>
          <w:rtl/>
        </w:rPr>
        <w:t>"</w:t>
      </w:r>
      <w:r w:rsidRPr="00D56447">
        <w:rPr>
          <w:rFonts w:hint="cs"/>
          <w:rtl/>
        </w:rPr>
        <w:t xml:space="preserve">בחינת התועלת הנובעת מחובת השתתפות של קרנות נאמנות באסיפות כלליות של חברות ציבוריות" </w:t>
      </w:r>
      <w:r w:rsidRPr="004C0516">
        <w:rPr>
          <w:rFonts w:hint="cs"/>
          <w:rtl/>
        </w:rPr>
        <w:t>(פברואר 1999).</w:t>
      </w:r>
    </w:p>
  </w:footnote>
  <w:footnote w:id="10">
    <w:p w:rsidR="00E77F44" w:rsidRPr="00E77F44" w:rsidRDefault="00E77F44" w:rsidP="00E63CB9">
      <w:pPr>
        <w:pStyle w:val="FootnoteText"/>
        <w:bidi/>
        <w:jc w:val="both"/>
        <w:rPr>
          <w:rFonts w:hint="cs"/>
          <w:rtl/>
        </w:rPr>
      </w:pPr>
      <w:r>
        <w:t xml:space="preserve"> </w:t>
      </w:r>
      <w:r>
        <w:rPr>
          <w:rStyle w:val="FootnoteReference"/>
        </w:rPr>
        <w:footnoteRef/>
      </w:r>
      <w:r>
        <w:t xml:space="preserve"> </w:t>
      </w:r>
      <w:r>
        <w:rPr>
          <w:rFonts w:hint="cs"/>
          <w:rtl/>
        </w:rPr>
        <w:t xml:space="preserve">על פי סעיפים </w:t>
      </w:r>
      <w:r w:rsidR="00E63CB9">
        <w:rPr>
          <w:rFonts w:hint="cs"/>
          <w:rtl/>
        </w:rPr>
        <w:t>11</w:t>
      </w:r>
      <w:r>
        <w:rPr>
          <w:rFonts w:hint="cs"/>
          <w:rtl/>
        </w:rPr>
        <w:t xml:space="preserve">(ב) </w:t>
      </w:r>
      <w:r w:rsidR="00E63CB9">
        <w:rPr>
          <w:rFonts w:hint="cs"/>
          <w:rtl/>
        </w:rPr>
        <w:t>ו11</w:t>
      </w:r>
      <w:r>
        <w:rPr>
          <w:rFonts w:hint="cs"/>
          <w:rtl/>
        </w:rPr>
        <w:t xml:space="preserve">(ג) </w:t>
      </w:r>
      <w:r w:rsidR="00E63CB9">
        <w:rPr>
          <w:rFonts w:hint="cs"/>
          <w:rtl/>
        </w:rPr>
        <w:t>לחוזר המאוחד</w:t>
      </w:r>
      <w:r>
        <w:rPr>
          <w:rFonts w:hint="cs"/>
          <w:rtl/>
        </w:rPr>
        <w:t>.</w:t>
      </w:r>
    </w:p>
  </w:footnote>
  <w:footnote w:id="11">
    <w:p w:rsidR="001020F1" w:rsidRDefault="001020F1" w:rsidP="001020F1">
      <w:pPr>
        <w:pStyle w:val="NormalWeb"/>
        <w:bidi/>
        <w:spacing w:before="75" w:beforeAutospacing="0" w:after="75" w:afterAutospacing="0"/>
        <w:jc w:val="both"/>
        <w:rPr>
          <w:rFonts w:hint="cs"/>
          <w:rtl/>
        </w:rPr>
      </w:pPr>
      <w:r w:rsidRPr="005819DF">
        <w:rPr>
          <w:rStyle w:val="FootnoteReference"/>
        </w:rPr>
        <w:footnoteRef/>
      </w:r>
      <w:r>
        <w:rPr>
          <w:rFonts w:cs="David" w:hint="cs"/>
          <w:color w:val="auto"/>
          <w:sz w:val="20"/>
          <w:szCs w:val="20"/>
          <w:rtl/>
          <w:lang w:eastAsia="he-IL"/>
        </w:rPr>
        <w:t xml:space="preserve"> </w:t>
      </w:r>
      <w:r>
        <w:rPr>
          <w:rFonts w:cs="David" w:hint="cs"/>
          <w:color w:val="auto"/>
          <w:sz w:val="20"/>
          <w:szCs w:val="20"/>
          <w:rtl/>
          <w:lang w:eastAsia="he-IL"/>
        </w:rPr>
        <w:t xml:space="preserve">למשל, </w:t>
      </w:r>
      <w:r w:rsidRPr="00110633">
        <w:rPr>
          <w:rFonts w:cs="David" w:hint="cs"/>
          <w:color w:val="auto"/>
          <w:sz w:val="20"/>
          <w:szCs w:val="20"/>
          <w:rtl/>
          <w:lang w:eastAsia="he-IL"/>
        </w:rPr>
        <w:t xml:space="preserve">שיתוף פעולה כאמור עשוי לחסות תחת </w:t>
      </w:r>
      <w:r w:rsidRPr="00110633">
        <w:rPr>
          <w:rFonts w:cs="David"/>
          <w:color w:val="auto"/>
          <w:sz w:val="20"/>
          <w:szCs w:val="20"/>
          <w:rtl/>
          <w:lang w:eastAsia="he-IL"/>
        </w:rPr>
        <w:t>כללי ההגבלים העסקיים (פטור סוג למיזמים משותפים), התשס"א – 2001</w:t>
      </w:r>
      <w:r>
        <w:rPr>
          <w:rFonts w:cs="David" w:hint="cs"/>
          <w:color w:val="auto"/>
          <w:sz w:val="20"/>
          <w:szCs w:val="20"/>
          <w:rtl/>
          <w:lang w:eastAsia="he-IL"/>
        </w:rPr>
        <w:t>.</w:t>
      </w:r>
    </w:p>
  </w:footnote>
  <w:footnote w:id="12">
    <w:p w:rsidR="009A15FF" w:rsidRDefault="009A15FF" w:rsidP="00E10A4F">
      <w:pPr>
        <w:pStyle w:val="FootnoteText"/>
        <w:bidi/>
        <w:jc w:val="both"/>
        <w:rPr>
          <w:rFonts w:hint="cs"/>
          <w:rtl/>
        </w:rPr>
      </w:pPr>
      <w:r>
        <w:rPr>
          <w:rStyle w:val="FootnoteReference"/>
        </w:rPr>
        <w:footnoteRef/>
      </w:r>
      <w:r>
        <w:t xml:space="preserve"> </w:t>
      </w:r>
      <w:r>
        <w:rPr>
          <w:rFonts w:hint="cs"/>
          <w:rtl/>
        </w:rPr>
        <w:t xml:space="preserve">ר' </w:t>
      </w:r>
      <w:r w:rsidRPr="007A694B">
        <w:rPr>
          <w:rtl/>
        </w:rPr>
        <w:t>הנחיות הממונה על הגבלים עסקיים לגבי הליכי הדיווח והבדיקה של מיזוגי חברות לפי חוק ההגבלים העסקיים, תשמ"ח</w:t>
      </w:r>
      <w:r w:rsidR="007447C7">
        <w:rPr>
          <w:rFonts w:hint="cs"/>
          <w:rtl/>
        </w:rPr>
        <w:t>-</w:t>
      </w:r>
      <w:r w:rsidRPr="007A694B">
        <w:rPr>
          <w:rtl/>
        </w:rPr>
        <w:t>1988</w:t>
      </w:r>
      <w:r>
        <w:rPr>
          <w:rFonts w:hint="cs"/>
          <w:rtl/>
        </w:rPr>
        <w:t xml:space="preserve">, </w:t>
      </w:r>
      <w:r>
        <w:rPr>
          <w:rFonts w:hint="cs"/>
          <w:b/>
          <w:bCs/>
          <w:rtl/>
        </w:rPr>
        <w:t>הגבלים עסקיים</w:t>
      </w:r>
      <w:r>
        <w:rPr>
          <w:rFonts w:hint="cs"/>
          <w:rtl/>
        </w:rPr>
        <w:t xml:space="preserve"> 500631, עמ' 12-14.</w:t>
      </w:r>
    </w:p>
  </w:footnote>
  <w:footnote w:id="13">
    <w:p w:rsidR="00215D1E" w:rsidRDefault="00215D1E" w:rsidP="00954960">
      <w:pPr>
        <w:pStyle w:val="FootnoteText"/>
        <w:bidi/>
        <w:jc w:val="both"/>
        <w:rPr>
          <w:rFonts w:hint="cs"/>
          <w:rtl/>
        </w:rPr>
      </w:pPr>
      <w:r>
        <w:rPr>
          <w:rStyle w:val="FootnoteReference"/>
        </w:rPr>
        <w:footnoteRef/>
      </w:r>
      <w:r>
        <w:t xml:space="preserve"> </w:t>
      </w:r>
      <w:r>
        <w:rPr>
          <w:rFonts w:hint="cs"/>
          <w:rtl/>
        </w:rPr>
        <w:t xml:space="preserve"> </w:t>
      </w:r>
      <w:r>
        <w:rPr>
          <w:rFonts w:hint="cs"/>
          <w:rtl/>
        </w:rPr>
        <w:t xml:space="preserve">ר' </w:t>
      </w:r>
      <w:r>
        <w:t>Martin C. Schmalz</w:t>
      </w:r>
      <w:r w:rsidR="00954960">
        <w:t xml:space="preserve">, </w:t>
      </w:r>
      <w:r>
        <w:t>Common Ownership and Competition: Facts, Misconceptions, and What to</w:t>
      </w:r>
      <w:r>
        <w:rPr>
          <w:rFonts w:hint="cs"/>
          <w:rtl/>
        </w:rPr>
        <w:t xml:space="preserve">  </w:t>
      </w:r>
      <w:r>
        <w:t xml:space="preserve"> (6.12.2017)</w:t>
      </w:r>
      <w:r w:rsidR="00260CA2">
        <w:t xml:space="preserve"> </w:t>
      </w:r>
      <w:r>
        <w:t>Do About it,</w:t>
      </w:r>
      <w:r>
        <w:rPr>
          <w:rFonts w:hint="cs"/>
          <w:rtl/>
        </w:rPr>
        <w:t xml:space="preserve"> עמ' 13 פס 37 וכן ה</w:t>
      </w:r>
      <w:r w:rsidRPr="002E24E5">
        <w:rPr>
          <w:rtl/>
        </w:rPr>
        <w:t>חלטה בדבר מתן פטור מאישור הסדר כובל להסכם בין</w:t>
      </w:r>
      <w:r w:rsidRPr="002E24E5">
        <w:rPr>
          <w:rFonts w:hint="cs"/>
          <w:rtl/>
        </w:rPr>
        <w:t xml:space="preserve"> </w:t>
      </w:r>
      <w:r w:rsidR="00260CA2">
        <w:rPr>
          <w:rtl/>
        </w:rPr>
        <w:t>איגוד בתי ההשקעות</w:t>
      </w:r>
      <w:r w:rsidRPr="002E24E5">
        <w:rPr>
          <w:rFonts w:hint="cs"/>
          <w:rtl/>
        </w:rPr>
        <w:t xml:space="preserve"> ו</w:t>
      </w:r>
      <w:r w:rsidRPr="002E24E5">
        <w:rPr>
          <w:rtl/>
        </w:rPr>
        <w:t>בתי השקעות בישראל</w:t>
      </w:r>
      <w:r>
        <w:rPr>
          <w:rFonts w:hint="cs"/>
          <w:rtl/>
        </w:rPr>
        <w:t xml:space="preserve"> </w:t>
      </w:r>
      <w:r w:rsidRPr="002E24E5">
        <w:rPr>
          <w:rFonts w:hint="cs"/>
          <w:rtl/>
        </w:rPr>
        <w:t>(1.11.2017),</w:t>
      </w:r>
      <w:r>
        <w:rPr>
          <w:rFonts w:hint="cs"/>
          <w:b/>
          <w:bCs/>
          <w:rtl/>
        </w:rPr>
        <w:t xml:space="preserve"> </w:t>
      </w:r>
      <w:r w:rsidR="00344586">
        <w:rPr>
          <w:rFonts w:hint="cs"/>
          <w:b/>
          <w:bCs/>
          <w:rtl/>
        </w:rPr>
        <w:t>רשות התחרות</w:t>
      </w:r>
      <w:r>
        <w:rPr>
          <w:rFonts w:hint="cs"/>
          <w:b/>
          <w:bCs/>
          <w:rtl/>
        </w:rPr>
        <w:t xml:space="preserve"> </w:t>
      </w:r>
      <w:r>
        <w:rPr>
          <w:rFonts w:hint="cs"/>
          <w:rtl/>
        </w:rPr>
        <w:t>501320.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F44" w:rsidRDefault="00E77F4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6465422" o:spid="_x0000_s2050" type="#_x0000_t136" style="position:absolute;left:0;text-align:left;margin-left:0;margin-top:0;width:418.25pt;height:167.3pt;rotation:315;z-index:-251665408;mso-position-horizontal:center;mso-position-horizontal-relative:margin;mso-position-vertical:center;mso-position-vertical-relative:margin" o:allowincell="f" fillcolor="silver" stroked="f">
          <v:fill opacity=".5"/>
          <v:textpath style="font-family:&quot;Times New Roman&quot;;font-size:1pt" string="טיוטה"/>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599" w:rsidRDefault="008438A2" w:rsidP="00E17599">
    <w:pPr>
      <w:pStyle w:val="Header"/>
      <w:jc w:val="center"/>
      <w:rPr>
        <w:noProof/>
        <w:lang w:eastAsia="en-US"/>
      </w:rPr>
    </w:pPr>
    <w:r>
      <w:rPr>
        <w:noProof/>
        <w:lang w:eastAsia="en-US"/>
      </w:rPr>
      <w:drawing>
        <wp:anchor distT="0" distB="0" distL="114300" distR="114300" simplePos="0" relativeHeight="251661312" behindDoc="1" locked="0" layoutInCell="1" allowOverlap="1">
          <wp:simplePos x="0" y="0"/>
          <wp:positionH relativeFrom="page">
            <wp:posOffset>-4445</wp:posOffset>
          </wp:positionH>
          <wp:positionV relativeFrom="paragraph">
            <wp:posOffset>-449580</wp:posOffset>
          </wp:positionV>
          <wp:extent cx="7628890" cy="1543050"/>
          <wp:effectExtent l="0" t="0" r="0" b="0"/>
          <wp:wrapNone/>
          <wp:docPr id="14"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8890" cy="1543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7599" w:rsidRDefault="00E17599" w:rsidP="00E17599">
    <w:pPr>
      <w:pStyle w:val="Header"/>
      <w:jc w:val="center"/>
      <w:rPr>
        <w:noProof/>
        <w:lang w:eastAsia="en-US"/>
      </w:rPr>
    </w:pPr>
  </w:p>
  <w:p w:rsidR="00E17599" w:rsidRDefault="00E17599" w:rsidP="00E17599">
    <w:pPr>
      <w:pStyle w:val="Header"/>
      <w:jc w:val="center"/>
      <w:rPr>
        <w:noProof/>
        <w:lang w:eastAsia="en-US"/>
      </w:rPr>
    </w:pPr>
  </w:p>
  <w:p w:rsidR="00E17599" w:rsidRDefault="00E17599" w:rsidP="00E17599">
    <w:pPr>
      <w:pStyle w:val="Header"/>
      <w:jc w:val="center"/>
      <w:rPr>
        <w:noProof/>
        <w:lang w:eastAsia="en-US"/>
      </w:rPr>
    </w:pPr>
  </w:p>
  <w:p w:rsidR="00E17599" w:rsidRDefault="00E17599" w:rsidP="00E17599">
    <w:pPr>
      <w:pStyle w:val="Header"/>
      <w:jc w:val="center"/>
      <w:rPr>
        <w:noProof/>
        <w:lang w:eastAsia="en-US"/>
      </w:rPr>
    </w:pPr>
  </w:p>
  <w:p w:rsidR="00215D1E" w:rsidRDefault="00215D1E" w:rsidP="00E17599">
    <w:pPr>
      <w:pStyle w:val="Header"/>
      <w:jc w:val="center"/>
      <w:rPr>
        <w:rFonts w:hint="cs"/>
        <w:noProof/>
        <w:lang w:eastAsia="en-US"/>
      </w:rPr>
    </w:pPr>
  </w:p>
  <w:p w:rsidR="00242728" w:rsidRDefault="00242728" w:rsidP="00C84E55">
    <w:pPr>
      <w:pStyle w:val="Header"/>
      <w:jc w:val="center"/>
      <w:rPr>
        <w:rFonts w:hint="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599" w:rsidRDefault="008438A2" w:rsidP="00E17599">
    <w:pPr>
      <w:pStyle w:val="Header"/>
      <w:rPr>
        <w:rtl/>
      </w:rPr>
    </w:pPr>
    <w:r>
      <w:rPr>
        <w:noProof/>
        <w:lang w:eastAsia="en-US"/>
      </w:rPr>
      <w:drawing>
        <wp:anchor distT="0" distB="0" distL="114300" distR="114300" simplePos="0" relativeHeight="251652096" behindDoc="1" locked="0" layoutInCell="1" allowOverlap="1">
          <wp:simplePos x="0" y="0"/>
          <wp:positionH relativeFrom="page">
            <wp:posOffset>-67945</wp:posOffset>
          </wp:positionH>
          <wp:positionV relativeFrom="paragraph">
            <wp:posOffset>-449580</wp:posOffset>
          </wp:positionV>
          <wp:extent cx="7628890" cy="1543050"/>
          <wp:effectExtent l="0" t="0" r="0" b="0"/>
          <wp:wrapNone/>
          <wp:docPr id="5"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8890" cy="1543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7599" w:rsidRDefault="00E17599" w:rsidP="00E17599">
    <w:pPr>
      <w:pStyle w:val="Header"/>
      <w:rPr>
        <w:rtl/>
      </w:rPr>
    </w:pPr>
  </w:p>
  <w:p w:rsidR="00E17599" w:rsidRDefault="00E17599" w:rsidP="00E17599">
    <w:pPr>
      <w:pStyle w:val="Header"/>
      <w:rPr>
        <w:rtl/>
      </w:rPr>
    </w:pPr>
  </w:p>
  <w:p w:rsidR="00E17599" w:rsidRDefault="00E17599" w:rsidP="00E17599">
    <w:pPr>
      <w:pStyle w:val="Header"/>
      <w:rPr>
        <w:rtl/>
      </w:rPr>
    </w:pPr>
  </w:p>
  <w:p w:rsidR="00E17599" w:rsidRDefault="00E17599" w:rsidP="00E17599">
    <w:pPr>
      <w:pStyle w:val="Header"/>
      <w:rPr>
        <w:rFonts w:hint="cs"/>
        <w:rtl/>
      </w:rPr>
    </w:pPr>
  </w:p>
  <w:p w:rsidR="00E17599" w:rsidRDefault="00E17599" w:rsidP="00E17599">
    <w:pPr>
      <w:pStyle w:val="Header"/>
      <w:rPr>
        <w:rtl/>
      </w:rPr>
    </w:pPr>
  </w:p>
  <w:p w:rsidR="00E77F44" w:rsidRDefault="00E77F44" w:rsidP="00E1759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6465421" o:spid="_x0000_s2049" type="#_x0000_t136" style="position:absolute;left:0;text-align:left;margin-left:0;margin-top:0;width:418.25pt;height:167.3pt;rotation:315;z-index:-251666432;mso-position-horizontal:center;mso-position-horizontal-relative:margin;mso-position-vertical:center;mso-position-vertical-relative:margin" o:allowincell="f" fillcolor="silver" stroked="f">
          <v:fill opacity=".5"/>
          <v:textpath style="font-family:&quot;Times New Roman&quot;;font-size:1pt" string="טיוטה"/>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3C8F654"/>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FD103A4"/>
    <w:multiLevelType w:val="hybridMultilevel"/>
    <w:tmpl w:val="611024A6"/>
    <w:lvl w:ilvl="0" w:tplc="5EC8AE3A">
      <w:start w:val="3"/>
      <w:numFmt w:val="hebrew1"/>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2" w15:restartNumberingAfterBreak="0">
    <w:nsid w:val="15301965"/>
    <w:multiLevelType w:val="hybridMultilevel"/>
    <w:tmpl w:val="85B03162"/>
    <w:lvl w:ilvl="0" w:tplc="0A2A45CC">
      <w:start w:val="1"/>
      <w:numFmt w:val="decimal"/>
      <w:lvlText w:val="%1."/>
      <w:lvlJc w:val="left"/>
      <w:pPr>
        <w:ind w:left="360" w:hanging="360"/>
      </w:pPr>
      <w:rPr>
        <w:rFonts w:hint="default"/>
        <w:b/>
        <w:bCs/>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044819"/>
    <w:multiLevelType w:val="hybridMultilevel"/>
    <w:tmpl w:val="DC62485E"/>
    <w:lvl w:ilvl="0" w:tplc="9DD801E4">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4D3A49"/>
    <w:multiLevelType w:val="hybridMultilevel"/>
    <w:tmpl w:val="D5FCADC8"/>
    <w:lvl w:ilvl="0" w:tplc="25B27F30">
      <w:start w:val="1"/>
      <w:numFmt w:val="decimal"/>
      <w:lvlText w:val="%1."/>
      <w:lvlJc w:val="left"/>
      <w:pPr>
        <w:ind w:left="662" w:hanging="360"/>
      </w:pPr>
      <w:rPr>
        <w:rFonts w:hint="default"/>
        <w:b/>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5" w15:restartNumberingAfterBreak="0">
    <w:nsid w:val="2C476257"/>
    <w:multiLevelType w:val="hybridMultilevel"/>
    <w:tmpl w:val="F7B454BE"/>
    <w:lvl w:ilvl="0" w:tplc="A2340F0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DB115E9"/>
    <w:multiLevelType w:val="hybridMultilevel"/>
    <w:tmpl w:val="E74007C4"/>
    <w:lvl w:ilvl="0" w:tplc="D3AAA49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7" w15:restartNumberingAfterBreak="0">
    <w:nsid w:val="32A102EC"/>
    <w:multiLevelType w:val="hybridMultilevel"/>
    <w:tmpl w:val="0BE00578"/>
    <w:lvl w:ilvl="0" w:tplc="CFF2321E">
      <w:start w:val="1"/>
      <w:numFmt w:val="hebrew1"/>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8" w15:restartNumberingAfterBreak="0">
    <w:nsid w:val="33E878BE"/>
    <w:multiLevelType w:val="multilevel"/>
    <w:tmpl w:val="80B29AB2"/>
    <w:lvl w:ilvl="0">
      <w:start w:val="1"/>
      <w:numFmt w:val="hebrew1"/>
      <w:lvlText w:val="%1."/>
      <w:lvlJc w:val="left"/>
      <w:pPr>
        <w:tabs>
          <w:tab w:val="num" w:pos="451"/>
        </w:tabs>
        <w:ind w:left="451" w:hanging="360"/>
      </w:pPr>
      <w:rPr>
        <w:rFonts w:cs="Times New Roman" w:hint="default"/>
        <w:sz w:val="2"/>
        <w:szCs w:val="24"/>
      </w:rPr>
    </w:lvl>
    <w:lvl w:ilvl="1">
      <w:start w:val="1"/>
      <w:numFmt w:val="lowerLetter"/>
      <w:lvlText w:val="%2."/>
      <w:lvlJc w:val="left"/>
      <w:pPr>
        <w:tabs>
          <w:tab w:val="num" w:pos="1171"/>
        </w:tabs>
        <w:ind w:left="1171" w:hanging="360"/>
      </w:pPr>
      <w:rPr>
        <w:rFonts w:cs="Times New Roman"/>
      </w:rPr>
    </w:lvl>
    <w:lvl w:ilvl="2">
      <w:start w:val="1"/>
      <w:numFmt w:val="lowerRoman"/>
      <w:lvlText w:val="%3."/>
      <w:lvlJc w:val="right"/>
      <w:pPr>
        <w:tabs>
          <w:tab w:val="num" w:pos="1891"/>
        </w:tabs>
        <w:ind w:left="1891" w:hanging="180"/>
      </w:pPr>
      <w:rPr>
        <w:rFonts w:cs="Times New Roman"/>
      </w:rPr>
    </w:lvl>
    <w:lvl w:ilvl="3">
      <w:start w:val="1"/>
      <w:numFmt w:val="decimal"/>
      <w:lvlText w:val="%4."/>
      <w:lvlJc w:val="left"/>
      <w:pPr>
        <w:tabs>
          <w:tab w:val="num" w:pos="2611"/>
        </w:tabs>
        <w:ind w:left="2611" w:hanging="360"/>
      </w:pPr>
      <w:rPr>
        <w:rFonts w:cs="Times New Roman"/>
      </w:rPr>
    </w:lvl>
    <w:lvl w:ilvl="4">
      <w:start w:val="1"/>
      <w:numFmt w:val="lowerLetter"/>
      <w:lvlText w:val="%5."/>
      <w:lvlJc w:val="left"/>
      <w:pPr>
        <w:tabs>
          <w:tab w:val="num" w:pos="3331"/>
        </w:tabs>
        <w:ind w:left="3331" w:hanging="360"/>
      </w:pPr>
      <w:rPr>
        <w:rFonts w:cs="Times New Roman"/>
      </w:rPr>
    </w:lvl>
    <w:lvl w:ilvl="5">
      <w:start w:val="1"/>
      <w:numFmt w:val="lowerRoman"/>
      <w:lvlText w:val="%6."/>
      <w:lvlJc w:val="right"/>
      <w:pPr>
        <w:tabs>
          <w:tab w:val="num" w:pos="4051"/>
        </w:tabs>
        <w:ind w:left="4051" w:hanging="180"/>
      </w:pPr>
      <w:rPr>
        <w:rFonts w:cs="Times New Roman"/>
      </w:rPr>
    </w:lvl>
    <w:lvl w:ilvl="6">
      <w:start w:val="1"/>
      <w:numFmt w:val="decimal"/>
      <w:lvlText w:val="%7."/>
      <w:lvlJc w:val="left"/>
      <w:pPr>
        <w:tabs>
          <w:tab w:val="num" w:pos="4771"/>
        </w:tabs>
        <w:ind w:left="4771" w:hanging="360"/>
      </w:pPr>
      <w:rPr>
        <w:rFonts w:cs="Times New Roman"/>
      </w:rPr>
    </w:lvl>
    <w:lvl w:ilvl="7">
      <w:start w:val="1"/>
      <w:numFmt w:val="lowerLetter"/>
      <w:lvlText w:val="%8."/>
      <w:lvlJc w:val="left"/>
      <w:pPr>
        <w:tabs>
          <w:tab w:val="num" w:pos="5491"/>
        </w:tabs>
        <w:ind w:left="5491" w:hanging="360"/>
      </w:pPr>
      <w:rPr>
        <w:rFonts w:cs="Times New Roman"/>
      </w:rPr>
    </w:lvl>
    <w:lvl w:ilvl="8">
      <w:start w:val="1"/>
      <w:numFmt w:val="lowerRoman"/>
      <w:lvlText w:val="%9."/>
      <w:lvlJc w:val="right"/>
      <w:pPr>
        <w:tabs>
          <w:tab w:val="num" w:pos="6211"/>
        </w:tabs>
        <w:ind w:left="6211" w:hanging="180"/>
      </w:pPr>
      <w:rPr>
        <w:rFonts w:cs="Times New Roman"/>
      </w:rPr>
    </w:lvl>
  </w:abstractNum>
  <w:abstractNum w:abstractNumId="9" w15:restartNumberingAfterBreak="0">
    <w:nsid w:val="39B3487A"/>
    <w:multiLevelType w:val="hybridMultilevel"/>
    <w:tmpl w:val="96FE2A0A"/>
    <w:lvl w:ilvl="0" w:tplc="4A726E0E">
      <w:start w:val="1"/>
      <w:numFmt w:val="hebrew1"/>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0" w15:restartNumberingAfterBreak="0">
    <w:nsid w:val="498709C0"/>
    <w:multiLevelType w:val="hybridMultilevel"/>
    <w:tmpl w:val="855C7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6F4109"/>
    <w:multiLevelType w:val="hybridMultilevel"/>
    <w:tmpl w:val="01985B6C"/>
    <w:lvl w:ilvl="0" w:tplc="55AACBFC">
      <w:start w:val="4"/>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5AE3FFD"/>
    <w:multiLevelType w:val="hybridMultilevel"/>
    <w:tmpl w:val="59DE2642"/>
    <w:lvl w:ilvl="0" w:tplc="3E72EC44">
      <w:start w:val="1"/>
      <w:numFmt w:val="hebrew1"/>
      <w:lvlText w:val="%1."/>
      <w:lvlJc w:val="left"/>
      <w:pPr>
        <w:tabs>
          <w:tab w:val="num" w:pos="360"/>
        </w:tabs>
        <w:ind w:left="360" w:hanging="360"/>
      </w:pPr>
      <w:rPr>
        <w:rFonts w:cs="David" w:hint="default"/>
        <w:sz w:val="2"/>
        <w:szCs w:val="24"/>
      </w:rPr>
    </w:lvl>
    <w:lvl w:ilvl="1" w:tplc="04090019">
      <w:start w:val="1"/>
      <w:numFmt w:val="lowerLetter"/>
      <w:lvlText w:val="%2."/>
      <w:lvlJc w:val="left"/>
      <w:pPr>
        <w:tabs>
          <w:tab w:val="num" w:pos="1171"/>
        </w:tabs>
        <w:ind w:left="1171" w:hanging="360"/>
      </w:pPr>
      <w:rPr>
        <w:rFonts w:cs="Times New Roman"/>
      </w:rPr>
    </w:lvl>
    <w:lvl w:ilvl="2" w:tplc="0409001B">
      <w:start w:val="1"/>
      <w:numFmt w:val="lowerRoman"/>
      <w:lvlText w:val="%3."/>
      <w:lvlJc w:val="right"/>
      <w:pPr>
        <w:tabs>
          <w:tab w:val="num" w:pos="1891"/>
        </w:tabs>
        <w:ind w:left="1891" w:hanging="180"/>
      </w:pPr>
      <w:rPr>
        <w:rFonts w:cs="Times New Roman"/>
      </w:rPr>
    </w:lvl>
    <w:lvl w:ilvl="3" w:tplc="0409000F">
      <w:start w:val="1"/>
      <w:numFmt w:val="decimal"/>
      <w:lvlText w:val="%4."/>
      <w:lvlJc w:val="left"/>
      <w:pPr>
        <w:tabs>
          <w:tab w:val="num" w:pos="2611"/>
        </w:tabs>
        <w:ind w:left="2611" w:hanging="360"/>
      </w:pPr>
      <w:rPr>
        <w:rFonts w:cs="Times New Roman"/>
      </w:rPr>
    </w:lvl>
    <w:lvl w:ilvl="4" w:tplc="04090019">
      <w:start w:val="1"/>
      <w:numFmt w:val="lowerLetter"/>
      <w:lvlText w:val="%5."/>
      <w:lvlJc w:val="left"/>
      <w:pPr>
        <w:tabs>
          <w:tab w:val="num" w:pos="3331"/>
        </w:tabs>
        <w:ind w:left="3331" w:hanging="360"/>
      </w:pPr>
      <w:rPr>
        <w:rFonts w:cs="Times New Roman"/>
      </w:rPr>
    </w:lvl>
    <w:lvl w:ilvl="5" w:tplc="0409001B">
      <w:start w:val="1"/>
      <w:numFmt w:val="lowerRoman"/>
      <w:lvlText w:val="%6."/>
      <w:lvlJc w:val="right"/>
      <w:pPr>
        <w:tabs>
          <w:tab w:val="num" w:pos="4051"/>
        </w:tabs>
        <w:ind w:left="4051" w:hanging="180"/>
      </w:pPr>
      <w:rPr>
        <w:rFonts w:cs="Times New Roman"/>
      </w:rPr>
    </w:lvl>
    <w:lvl w:ilvl="6" w:tplc="0409000F">
      <w:start w:val="1"/>
      <w:numFmt w:val="decimal"/>
      <w:lvlText w:val="%7."/>
      <w:lvlJc w:val="left"/>
      <w:pPr>
        <w:tabs>
          <w:tab w:val="num" w:pos="4771"/>
        </w:tabs>
        <w:ind w:left="4771" w:hanging="360"/>
      </w:pPr>
      <w:rPr>
        <w:rFonts w:cs="Times New Roman"/>
      </w:rPr>
    </w:lvl>
    <w:lvl w:ilvl="7" w:tplc="04090019">
      <w:start w:val="1"/>
      <w:numFmt w:val="lowerLetter"/>
      <w:lvlText w:val="%8."/>
      <w:lvlJc w:val="left"/>
      <w:pPr>
        <w:tabs>
          <w:tab w:val="num" w:pos="5491"/>
        </w:tabs>
        <w:ind w:left="5491" w:hanging="360"/>
      </w:pPr>
      <w:rPr>
        <w:rFonts w:cs="Times New Roman"/>
      </w:rPr>
    </w:lvl>
    <w:lvl w:ilvl="8" w:tplc="0409001B">
      <w:start w:val="1"/>
      <w:numFmt w:val="lowerRoman"/>
      <w:lvlText w:val="%9."/>
      <w:lvlJc w:val="right"/>
      <w:pPr>
        <w:tabs>
          <w:tab w:val="num" w:pos="6211"/>
        </w:tabs>
        <w:ind w:left="6211" w:hanging="180"/>
      </w:pPr>
      <w:rPr>
        <w:rFonts w:cs="Times New Roman"/>
      </w:rPr>
    </w:lvl>
  </w:abstractNum>
  <w:abstractNum w:abstractNumId="13" w15:restartNumberingAfterBreak="0">
    <w:nsid w:val="5A72004C"/>
    <w:multiLevelType w:val="hybridMultilevel"/>
    <w:tmpl w:val="4CCA3F9C"/>
    <w:lvl w:ilvl="0" w:tplc="AD9A7832">
      <w:start w:val="1"/>
      <w:numFmt w:val="decimal"/>
      <w:lvlText w:val="%1."/>
      <w:lvlJc w:val="left"/>
      <w:pPr>
        <w:ind w:left="302" w:hanging="360"/>
      </w:pPr>
      <w:rPr>
        <w:rFonts w:hint="default"/>
        <w:b/>
        <w:strike w:val="0"/>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4" w15:restartNumberingAfterBreak="0">
    <w:nsid w:val="5DE561EA"/>
    <w:multiLevelType w:val="multilevel"/>
    <w:tmpl w:val="80B29AB2"/>
    <w:lvl w:ilvl="0">
      <w:start w:val="1"/>
      <w:numFmt w:val="hebrew1"/>
      <w:lvlText w:val="%1."/>
      <w:lvlJc w:val="left"/>
      <w:pPr>
        <w:tabs>
          <w:tab w:val="num" w:pos="451"/>
        </w:tabs>
        <w:ind w:left="451" w:hanging="360"/>
      </w:pPr>
      <w:rPr>
        <w:rFonts w:cs="Times New Roman" w:hint="default"/>
        <w:sz w:val="2"/>
        <w:szCs w:val="24"/>
      </w:rPr>
    </w:lvl>
    <w:lvl w:ilvl="1">
      <w:start w:val="1"/>
      <w:numFmt w:val="lowerLetter"/>
      <w:lvlText w:val="%2."/>
      <w:lvlJc w:val="left"/>
      <w:pPr>
        <w:tabs>
          <w:tab w:val="num" w:pos="1171"/>
        </w:tabs>
        <w:ind w:left="1171" w:hanging="360"/>
      </w:pPr>
      <w:rPr>
        <w:rFonts w:cs="Times New Roman"/>
      </w:rPr>
    </w:lvl>
    <w:lvl w:ilvl="2">
      <w:start w:val="1"/>
      <w:numFmt w:val="lowerRoman"/>
      <w:lvlText w:val="%3."/>
      <w:lvlJc w:val="right"/>
      <w:pPr>
        <w:tabs>
          <w:tab w:val="num" w:pos="1891"/>
        </w:tabs>
        <w:ind w:left="1891" w:hanging="180"/>
      </w:pPr>
      <w:rPr>
        <w:rFonts w:cs="Times New Roman"/>
      </w:rPr>
    </w:lvl>
    <w:lvl w:ilvl="3">
      <w:start w:val="1"/>
      <w:numFmt w:val="decimal"/>
      <w:lvlText w:val="%4."/>
      <w:lvlJc w:val="left"/>
      <w:pPr>
        <w:tabs>
          <w:tab w:val="num" w:pos="2611"/>
        </w:tabs>
        <w:ind w:left="2611" w:hanging="360"/>
      </w:pPr>
      <w:rPr>
        <w:rFonts w:cs="Times New Roman"/>
      </w:rPr>
    </w:lvl>
    <w:lvl w:ilvl="4">
      <w:start w:val="1"/>
      <w:numFmt w:val="lowerLetter"/>
      <w:lvlText w:val="%5."/>
      <w:lvlJc w:val="left"/>
      <w:pPr>
        <w:tabs>
          <w:tab w:val="num" w:pos="3331"/>
        </w:tabs>
        <w:ind w:left="3331" w:hanging="360"/>
      </w:pPr>
      <w:rPr>
        <w:rFonts w:cs="Times New Roman"/>
      </w:rPr>
    </w:lvl>
    <w:lvl w:ilvl="5">
      <w:start w:val="1"/>
      <w:numFmt w:val="lowerRoman"/>
      <w:lvlText w:val="%6."/>
      <w:lvlJc w:val="right"/>
      <w:pPr>
        <w:tabs>
          <w:tab w:val="num" w:pos="4051"/>
        </w:tabs>
        <w:ind w:left="4051" w:hanging="180"/>
      </w:pPr>
      <w:rPr>
        <w:rFonts w:cs="Times New Roman"/>
      </w:rPr>
    </w:lvl>
    <w:lvl w:ilvl="6">
      <w:start w:val="1"/>
      <w:numFmt w:val="decimal"/>
      <w:lvlText w:val="%7."/>
      <w:lvlJc w:val="left"/>
      <w:pPr>
        <w:tabs>
          <w:tab w:val="num" w:pos="4771"/>
        </w:tabs>
        <w:ind w:left="4771" w:hanging="360"/>
      </w:pPr>
      <w:rPr>
        <w:rFonts w:cs="Times New Roman"/>
      </w:rPr>
    </w:lvl>
    <w:lvl w:ilvl="7">
      <w:start w:val="1"/>
      <w:numFmt w:val="lowerLetter"/>
      <w:lvlText w:val="%8."/>
      <w:lvlJc w:val="left"/>
      <w:pPr>
        <w:tabs>
          <w:tab w:val="num" w:pos="5491"/>
        </w:tabs>
        <w:ind w:left="5491" w:hanging="360"/>
      </w:pPr>
      <w:rPr>
        <w:rFonts w:cs="Times New Roman"/>
      </w:rPr>
    </w:lvl>
    <w:lvl w:ilvl="8">
      <w:start w:val="1"/>
      <w:numFmt w:val="lowerRoman"/>
      <w:lvlText w:val="%9."/>
      <w:lvlJc w:val="right"/>
      <w:pPr>
        <w:tabs>
          <w:tab w:val="num" w:pos="6211"/>
        </w:tabs>
        <w:ind w:left="6211" w:hanging="180"/>
      </w:pPr>
      <w:rPr>
        <w:rFonts w:cs="Times New Roman"/>
      </w:rPr>
    </w:lvl>
  </w:abstractNum>
  <w:abstractNum w:abstractNumId="15" w15:restartNumberingAfterBreak="0">
    <w:nsid w:val="71AA5341"/>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6" w15:restartNumberingAfterBreak="0">
    <w:nsid w:val="775E255D"/>
    <w:multiLevelType w:val="hybridMultilevel"/>
    <w:tmpl w:val="C39CAB12"/>
    <w:lvl w:ilvl="0" w:tplc="4000B49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D717BF"/>
    <w:multiLevelType w:val="hybridMultilevel"/>
    <w:tmpl w:val="A26EBD46"/>
    <w:lvl w:ilvl="0" w:tplc="C9BA87F2">
      <w:start w:val="1"/>
      <w:numFmt w:val="decimal"/>
      <w:lvlText w:val="%1."/>
      <w:lvlJc w:val="left"/>
      <w:pPr>
        <w:tabs>
          <w:tab w:val="num" w:pos="746"/>
        </w:tabs>
        <w:ind w:left="746" w:hanging="360"/>
      </w:pPr>
      <w:rPr>
        <w:rFonts w:hint="default"/>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18" w15:restartNumberingAfterBreak="0">
    <w:nsid w:val="7A501497"/>
    <w:multiLevelType w:val="hybridMultilevel"/>
    <w:tmpl w:val="B43CE84A"/>
    <w:lvl w:ilvl="0" w:tplc="E6A63068">
      <w:start w:val="1"/>
      <w:numFmt w:val="hebrew1"/>
      <w:lvlText w:val="%1."/>
      <w:lvlJc w:val="left"/>
      <w:pPr>
        <w:tabs>
          <w:tab w:val="num" w:pos="451"/>
        </w:tabs>
        <w:ind w:left="451" w:hanging="360"/>
      </w:pPr>
      <w:rPr>
        <w:rFonts w:cs="Times New Roman" w:hint="default"/>
        <w:sz w:val="2"/>
        <w:szCs w:val="24"/>
      </w:rPr>
    </w:lvl>
    <w:lvl w:ilvl="1" w:tplc="04090019">
      <w:start w:val="1"/>
      <w:numFmt w:val="lowerLetter"/>
      <w:lvlText w:val="%2."/>
      <w:lvlJc w:val="left"/>
      <w:pPr>
        <w:tabs>
          <w:tab w:val="num" w:pos="1171"/>
        </w:tabs>
        <w:ind w:left="1171" w:hanging="360"/>
      </w:pPr>
      <w:rPr>
        <w:rFonts w:cs="Times New Roman"/>
      </w:rPr>
    </w:lvl>
    <w:lvl w:ilvl="2" w:tplc="0409001B">
      <w:start w:val="1"/>
      <w:numFmt w:val="lowerRoman"/>
      <w:lvlText w:val="%3."/>
      <w:lvlJc w:val="right"/>
      <w:pPr>
        <w:tabs>
          <w:tab w:val="num" w:pos="1891"/>
        </w:tabs>
        <w:ind w:left="1891" w:hanging="180"/>
      </w:pPr>
      <w:rPr>
        <w:rFonts w:cs="Times New Roman"/>
      </w:rPr>
    </w:lvl>
    <w:lvl w:ilvl="3" w:tplc="0409000F">
      <w:start w:val="1"/>
      <w:numFmt w:val="decimal"/>
      <w:lvlText w:val="%4."/>
      <w:lvlJc w:val="left"/>
      <w:pPr>
        <w:tabs>
          <w:tab w:val="num" w:pos="2611"/>
        </w:tabs>
        <w:ind w:left="2611" w:hanging="360"/>
      </w:pPr>
      <w:rPr>
        <w:rFonts w:cs="Times New Roman"/>
      </w:rPr>
    </w:lvl>
    <w:lvl w:ilvl="4" w:tplc="04090019">
      <w:start w:val="1"/>
      <w:numFmt w:val="lowerLetter"/>
      <w:lvlText w:val="%5."/>
      <w:lvlJc w:val="left"/>
      <w:pPr>
        <w:tabs>
          <w:tab w:val="num" w:pos="3331"/>
        </w:tabs>
        <w:ind w:left="3331" w:hanging="360"/>
      </w:pPr>
      <w:rPr>
        <w:rFonts w:cs="Times New Roman"/>
      </w:rPr>
    </w:lvl>
    <w:lvl w:ilvl="5" w:tplc="0409001B">
      <w:start w:val="1"/>
      <w:numFmt w:val="lowerRoman"/>
      <w:lvlText w:val="%6."/>
      <w:lvlJc w:val="right"/>
      <w:pPr>
        <w:tabs>
          <w:tab w:val="num" w:pos="4051"/>
        </w:tabs>
        <w:ind w:left="4051" w:hanging="180"/>
      </w:pPr>
      <w:rPr>
        <w:rFonts w:cs="Times New Roman"/>
      </w:rPr>
    </w:lvl>
    <w:lvl w:ilvl="6" w:tplc="0409000F">
      <w:start w:val="1"/>
      <w:numFmt w:val="decimal"/>
      <w:lvlText w:val="%7."/>
      <w:lvlJc w:val="left"/>
      <w:pPr>
        <w:tabs>
          <w:tab w:val="num" w:pos="4771"/>
        </w:tabs>
        <w:ind w:left="4771" w:hanging="360"/>
      </w:pPr>
      <w:rPr>
        <w:rFonts w:cs="Times New Roman"/>
      </w:rPr>
    </w:lvl>
    <w:lvl w:ilvl="7" w:tplc="04090019">
      <w:start w:val="1"/>
      <w:numFmt w:val="lowerLetter"/>
      <w:lvlText w:val="%8."/>
      <w:lvlJc w:val="left"/>
      <w:pPr>
        <w:tabs>
          <w:tab w:val="num" w:pos="5491"/>
        </w:tabs>
        <w:ind w:left="5491" w:hanging="360"/>
      </w:pPr>
      <w:rPr>
        <w:rFonts w:cs="Times New Roman"/>
      </w:rPr>
    </w:lvl>
    <w:lvl w:ilvl="8" w:tplc="0409001B">
      <w:start w:val="1"/>
      <w:numFmt w:val="lowerRoman"/>
      <w:lvlText w:val="%9."/>
      <w:lvlJc w:val="right"/>
      <w:pPr>
        <w:tabs>
          <w:tab w:val="num" w:pos="6211"/>
        </w:tabs>
        <w:ind w:left="6211" w:hanging="180"/>
      </w:pPr>
      <w:rPr>
        <w:rFonts w:cs="Times New Roman"/>
      </w:rPr>
    </w:lvl>
  </w:abstractNum>
  <w:abstractNum w:abstractNumId="19" w15:restartNumberingAfterBreak="0">
    <w:nsid w:val="7F0419AA"/>
    <w:multiLevelType w:val="hybridMultilevel"/>
    <w:tmpl w:val="8A2A114E"/>
    <w:lvl w:ilvl="0" w:tplc="9DA8AF82">
      <w:start w:val="1"/>
      <w:numFmt w:val="hebrew1"/>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num w:numId="1">
    <w:abstractNumId w:val="12"/>
  </w:num>
  <w:num w:numId="2">
    <w:abstractNumId w:val="6"/>
  </w:num>
  <w:num w:numId="3">
    <w:abstractNumId w:val="15"/>
  </w:num>
  <w:num w:numId="4">
    <w:abstractNumId w:val="0"/>
  </w:num>
  <w:num w:numId="5">
    <w:abstractNumId w:val="3"/>
  </w:num>
  <w:num w:numId="6">
    <w:abstractNumId w:val="5"/>
  </w:num>
  <w:num w:numId="7">
    <w:abstractNumId w:val="8"/>
  </w:num>
  <w:num w:numId="8">
    <w:abstractNumId w:val="14"/>
  </w:num>
  <w:num w:numId="9">
    <w:abstractNumId w:val="17"/>
  </w:num>
  <w:num w:numId="10">
    <w:abstractNumId w:val="2"/>
  </w:num>
  <w:num w:numId="11">
    <w:abstractNumId w:val="10"/>
  </w:num>
  <w:num w:numId="12">
    <w:abstractNumId w:val="1"/>
  </w:num>
  <w:num w:numId="13">
    <w:abstractNumId w:val="11"/>
  </w:num>
  <w:num w:numId="14">
    <w:abstractNumId w:val="18"/>
  </w:num>
  <w:num w:numId="15">
    <w:abstractNumId w:val="13"/>
  </w:num>
  <w:num w:numId="16">
    <w:abstractNumId w:val="9"/>
  </w:num>
  <w:num w:numId="17">
    <w:abstractNumId w:val="7"/>
  </w:num>
  <w:num w:numId="18">
    <w:abstractNumId w:val="19"/>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E55"/>
    <w:rsid w:val="0000140C"/>
    <w:rsid w:val="000038F9"/>
    <w:rsid w:val="0000434C"/>
    <w:rsid w:val="00004B94"/>
    <w:rsid w:val="00004C1F"/>
    <w:rsid w:val="00005DDE"/>
    <w:rsid w:val="00011152"/>
    <w:rsid w:val="00011C04"/>
    <w:rsid w:val="000123AC"/>
    <w:rsid w:val="00022933"/>
    <w:rsid w:val="000236CF"/>
    <w:rsid w:val="000420F9"/>
    <w:rsid w:val="0004356A"/>
    <w:rsid w:val="00045F9F"/>
    <w:rsid w:val="0004639E"/>
    <w:rsid w:val="00046794"/>
    <w:rsid w:val="00046F95"/>
    <w:rsid w:val="00053E3B"/>
    <w:rsid w:val="00054398"/>
    <w:rsid w:val="000573C9"/>
    <w:rsid w:val="00061B23"/>
    <w:rsid w:val="00061BEF"/>
    <w:rsid w:val="000624CD"/>
    <w:rsid w:val="00062686"/>
    <w:rsid w:val="0006409A"/>
    <w:rsid w:val="00064D79"/>
    <w:rsid w:val="00065D92"/>
    <w:rsid w:val="00070609"/>
    <w:rsid w:val="00071D31"/>
    <w:rsid w:val="0007327B"/>
    <w:rsid w:val="00074EB5"/>
    <w:rsid w:val="000767B5"/>
    <w:rsid w:val="00080ACC"/>
    <w:rsid w:val="00081301"/>
    <w:rsid w:val="00081509"/>
    <w:rsid w:val="00081998"/>
    <w:rsid w:val="0008283B"/>
    <w:rsid w:val="00083653"/>
    <w:rsid w:val="000839D9"/>
    <w:rsid w:val="00083FD8"/>
    <w:rsid w:val="00084F77"/>
    <w:rsid w:val="00085348"/>
    <w:rsid w:val="00090758"/>
    <w:rsid w:val="00090FC6"/>
    <w:rsid w:val="00093B5E"/>
    <w:rsid w:val="0009537D"/>
    <w:rsid w:val="000A007F"/>
    <w:rsid w:val="000A187B"/>
    <w:rsid w:val="000A210F"/>
    <w:rsid w:val="000A250A"/>
    <w:rsid w:val="000A7B8D"/>
    <w:rsid w:val="000B0E7B"/>
    <w:rsid w:val="000B104C"/>
    <w:rsid w:val="000B43C1"/>
    <w:rsid w:val="000C22FA"/>
    <w:rsid w:val="000C47E4"/>
    <w:rsid w:val="000C5295"/>
    <w:rsid w:val="000C6543"/>
    <w:rsid w:val="000C6D61"/>
    <w:rsid w:val="000D4636"/>
    <w:rsid w:val="000E1036"/>
    <w:rsid w:val="000E1BCB"/>
    <w:rsid w:val="000E68B3"/>
    <w:rsid w:val="000E76F7"/>
    <w:rsid w:val="000F4879"/>
    <w:rsid w:val="000F5300"/>
    <w:rsid w:val="000F7370"/>
    <w:rsid w:val="00101D2C"/>
    <w:rsid w:val="001020F1"/>
    <w:rsid w:val="00102451"/>
    <w:rsid w:val="0010280D"/>
    <w:rsid w:val="0010602E"/>
    <w:rsid w:val="00106653"/>
    <w:rsid w:val="00112384"/>
    <w:rsid w:val="00112A5A"/>
    <w:rsid w:val="00116486"/>
    <w:rsid w:val="001174F9"/>
    <w:rsid w:val="00120993"/>
    <w:rsid w:val="00121200"/>
    <w:rsid w:val="001223D4"/>
    <w:rsid w:val="0013305F"/>
    <w:rsid w:val="00136B36"/>
    <w:rsid w:val="00136DED"/>
    <w:rsid w:val="00140DDB"/>
    <w:rsid w:val="00142C34"/>
    <w:rsid w:val="00142E31"/>
    <w:rsid w:val="0014301B"/>
    <w:rsid w:val="0014335C"/>
    <w:rsid w:val="00145234"/>
    <w:rsid w:val="0014618B"/>
    <w:rsid w:val="00147767"/>
    <w:rsid w:val="0015439B"/>
    <w:rsid w:val="00154864"/>
    <w:rsid w:val="00155CD2"/>
    <w:rsid w:val="00156561"/>
    <w:rsid w:val="0015680C"/>
    <w:rsid w:val="001603A0"/>
    <w:rsid w:val="001633BE"/>
    <w:rsid w:val="0016585C"/>
    <w:rsid w:val="00172BFA"/>
    <w:rsid w:val="00177250"/>
    <w:rsid w:val="00181FB9"/>
    <w:rsid w:val="00182E87"/>
    <w:rsid w:val="00183AB0"/>
    <w:rsid w:val="00184153"/>
    <w:rsid w:val="00187431"/>
    <w:rsid w:val="001874A8"/>
    <w:rsid w:val="001901FC"/>
    <w:rsid w:val="00191951"/>
    <w:rsid w:val="001932B0"/>
    <w:rsid w:val="00194843"/>
    <w:rsid w:val="00194FB7"/>
    <w:rsid w:val="001A1AB0"/>
    <w:rsid w:val="001A3632"/>
    <w:rsid w:val="001A68A1"/>
    <w:rsid w:val="001A7703"/>
    <w:rsid w:val="001B071D"/>
    <w:rsid w:val="001B1878"/>
    <w:rsid w:val="001B5676"/>
    <w:rsid w:val="001B781C"/>
    <w:rsid w:val="001C0F67"/>
    <w:rsid w:val="001C5B18"/>
    <w:rsid w:val="001D09F3"/>
    <w:rsid w:val="001D1F08"/>
    <w:rsid w:val="001D283D"/>
    <w:rsid w:val="001D37D4"/>
    <w:rsid w:val="001D3F42"/>
    <w:rsid w:val="001D5E79"/>
    <w:rsid w:val="001D74E5"/>
    <w:rsid w:val="001E15CD"/>
    <w:rsid w:val="001E45C3"/>
    <w:rsid w:val="001E78F8"/>
    <w:rsid w:val="001F3864"/>
    <w:rsid w:val="001F3892"/>
    <w:rsid w:val="001F4619"/>
    <w:rsid w:val="001F7112"/>
    <w:rsid w:val="001F7A8B"/>
    <w:rsid w:val="00200B81"/>
    <w:rsid w:val="002028DF"/>
    <w:rsid w:val="002046FD"/>
    <w:rsid w:val="002057FA"/>
    <w:rsid w:val="00205B27"/>
    <w:rsid w:val="00207E29"/>
    <w:rsid w:val="00210C07"/>
    <w:rsid w:val="00211A41"/>
    <w:rsid w:val="00211E96"/>
    <w:rsid w:val="00213294"/>
    <w:rsid w:val="00213512"/>
    <w:rsid w:val="002157A7"/>
    <w:rsid w:val="00215D1E"/>
    <w:rsid w:val="00223945"/>
    <w:rsid w:val="002267D1"/>
    <w:rsid w:val="00227431"/>
    <w:rsid w:val="00240F71"/>
    <w:rsid w:val="002422B3"/>
    <w:rsid w:val="00242728"/>
    <w:rsid w:val="0024285D"/>
    <w:rsid w:val="002442E6"/>
    <w:rsid w:val="00245E20"/>
    <w:rsid w:val="002466E7"/>
    <w:rsid w:val="00247B26"/>
    <w:rsid w:val="002507A3"/>
    <w:rsid w:val="002537BD"/>
    <w:rsid w:val="00253DFC"/>
    <w:rsid w:val="00255DD9"/>
    <w:rsid w:val="00257CE3"/>
    <w:rsid w:val="00260487"/>
    <w:rsid w:val="00260A25"/>
    <w:rsid w:val="00260CA2"/>
    <w:rsid w:val="00266EE0"/>
    <w:rsid w:val="00270772"/>
    <w:rsid w:val="00270A7B"/>
    <w:rsid w:val="0027438D"/>
    <w:rsid w:val="002810CA"/>
    <w:rsid w:val="00281870"/>
    <w:rsid w:val="002840C7"/>
    <w:rsid w:val="0028570C"/>
    <w:rsid w:val="00285B27"/>
    <w:rsid w:val="00287131"/>
    <w:rsid w:val="002871E5"/>
    <w:rsid w:val="002952C9"/>
    <w:rsid w:val="00295B0A"/>
    <w:rsid w:val="002A1843"/>
    <w:rsid w:val="002A4728"/>
    <w:rsid w:val="002A5FFF"/>
    <w:rsid w:val="002B1638"/>
    <w:rsid w:val="002B2994"/>
    <w:rsid w:val="002B46B8"/>
    <w:rsid w:val="002B4AD7"/>
    <w:rsid w:val="002B56C0"/>
    <w:rsid w:val="002B7433"/>
    <w:rsid w:val="002C054C"/>
    <w:rsid w:val="002C169D"/>
    <w:rsid w:val="002C5DC2"/>
    <w:rsid w:val="002C6FB2"/>
    <w:rsid w:val="002D2DC9"/>
    <w:rsid w:val="002D3D5D"/>
    <w:rsid w:val="002D49D5"/>
    <w:rsid w:val="002D519A"/>
    <w:rsid w:val="002D5401"/>
    <w:rsid w:val="002E1CE4"/>
    <w:rsid w:val="002E2116"/>
    <w:rsid w:val="002E524F"/>
    <w:rsid w:val="002E5DE9"/>
    <w:rsid w:val="002E6CF4"/>
    <w:rsid w:val="002E795A"/>
    <w:rsid w:val="002F07EB"/>
    <w:rsid w:val="00301469"/>
    <w:rsid w:val="00311BB1"/>
    <w:rsid w:val="00313721"/>
    <w:rsid w:val="0031399E"/>
    <w:rsid w:val="00315B09"/>
    <w:rsid w:val="00316AAB"/>
    <w:rsid w:val="00316AE6"/>
    <w:rsid w:val="00321CA3"/>
    <w:rsid w:val="00322193"/>
    <w:rsid w:val="003222C6"/>
    <w:rsid w:val="00323000"/>
    <w:rsid w:val="003238A1"/>
    <w:rsid w:val="00324B15"/>
    <w:rsid w:val="00327891"/>
    <w:rsid w:val="00327952"/>
    <w:rsid w:val="00330473"/>
    <w:rsid w:val="003318D2"/>
    <w:rsid w:val="00333FB6"/>
    <w:rsid w:val="0033507F"/>
    <w:rsid w:val="00335689"/>
    <w:rsid w:val="0033739A"/>
    <w:rsid w:val="00337FF0"/>
    <w:rsid w:val="00343B96"/>
    <w:rsid w:val="0034426F"/>
    <w:rsid w:val="00344586"/>
    <w:rsid w:val="00346B31"/>
    <w:rsid w:val="003508EA"/>
    <w:rsid w:val="00356E38"/>
    <w:rsid w:val="00356E82"/>
    <w:rsid w:val="00363508"/>
    <w:rsid w:val="00367084"/>
    <w:rsid w:val="0037289E"/>
    <w:rsid w:val="00375556"/>
    <w:rsid w:val="00376313"/>
    <w:rsid w:val="00383EDC"/>
    <w:rsid w:val="0038450E"/>
    <w:rsid w:val="00385FA4"/>
    <w:rsid w:val="00386B7C"/>
    <w:rsid w:val="0038703C"/>
    <w:rsid w:val="00387F58"/>
    <w:rsid w:val="003905B0"/>
    <w:rsid w:val="0039075B"/>
    <w:rsid w:val="00393580"/>
    <w:rsid w:val="003A2DB8"/>
    <w:rsid w:val="003A7419"/>
    <w:rsid w:val="003A7C49"/>
    <w:rsid w:val="003B060A"/>
    <w:rsid w:val="003B07B6"/>
    <w:rsid w:val="003B0EE0"/>
    <w:rsid w:val="003B1A21"/>
    <w:rsid w:val="003B4EF2"/>
    <w:rsid w:val="003B61F8"/>
    <w:rsid w:val="003B666C"/>
    <w:rsid w:val="003B6698"/>
    <w:rsid w:val="003B761E"/>
    <w:rsid w:val="003C20F8"/>
    <w:rsid w:val="003C21C0"/>
    <w:rsid w:val="003C38D1"/>
    <w:rsid w:val="003C3AF3"/>
    <w:rsid w:val="003D03AA"/>
    <w:rsid w:val="003E34F0"/>
    <w:rsid w:val="003E5C7C"/>
    <w:rsid w:val="003F36F4"/>
    <w:rsid w:val="003F6050"/>
    <w:rsid w:val="003F7A5E"/>
    <w:rsid w:val="00400B54"/>
    <w:rsid w:val="00405DFC"/>
    <w:rsid w:val="00413B5C"/>
    <w:rsid w:val="004218AB"/>
    <w:rsid w:val="004328BD"/>
    <w:rsid w:val="00432B95"/>
    <w:rsid w:val="00435E3B"/>
    <w:rsid w:val="00436A0E"/>
    <w:rsid w:val="00441E50"/>
    <w:rsid w:val="00443DC5"/>
    <w:rsid w:val="00445011"/>
    <w:rsid w:val="00446827"/>
    <w:rsid w:val="00447E36"/>
    <w:rsid w:val="004502F0"/>
    <w:rsid w:val="00451D51"/>
    <w:rsid w:val="00452386"/>
    <w:rsid w:val="00453226"/>
    <w:rsid w:val="00454B25"/>
    <w:rsid w:val="00455398"/>
    <w:rsid w:val="00456BB1"/>
    <w:rsid w:val="00457C15"/>
    <w:rsid w:val="0046046D"/>
    <w:rsid w:val="00460889"/>
    <w:rsid w:val="00462B80"/>
    <w:rsid w:val="00462EB1"/>
    <w:rsid w:val="0046518A"/>
    <w:rsid w:val="0046577A"/>
    <w:rsid w:val="0046647A"/>
    <w:rsid w:val="00466AF0"/>
    <w:rsid w:val="0047730C"/>
    <w:rsid w:val="0047758C"/>
    <w:rsid w:val="00477E3A"/>
    <w:rsid w:val="004808AE"/>
    <w:rsid w:val="00480EC2"/>
    <w:rsid w:val="0048159F"/>
    <w:rsid w:val="004836F6"/>
    <w:rsid w:val="004926B2"/>
    <w:rsid w:val="00493009"/>
    <w:rsid w:val="00493B1F"/>
    <w:rsid w:val="00497C2E"/>
    <w:rsid w:val="004A1510"/>
    <w:rsid w:val="004A2A21"/>
    <w:rsid w:val="004A338D"/>
    <w:rsid w:val="004A384C"/>
    <w:rsid w:val="004B1CD1"/>
    <w:rsid w:val="004B1D0B"/>
    <w:rsid w:val="004B3A67"/>
    <w:rsid w:val="004B7682"/>
    <w:rsid w:val="004B7C1C"/>
    <w:rsid w:val="004C03DB"/>
    <w:rsid w:val="004C0516"/>
    <w:rsid w:val="004C0ABF"/>
    <w:rsid w:val="004C54BA"/>
    <w:rsid w:val="004C73C7"/>
    <w:rsid w:val="004C7F34"/>
    <w:rsid w:val="004D093E"/>
    <w:rsid w:val="004D0AD7"/>
    <w:rsid w:val="004D2A0D"/>
    <w:rsid w:val="004E7149"/>
    <w:rsid w:val="004F032B"/>
    <w:rsid w:val="004F0D12"/>
    <w:rsid w:val="004F1602"/>
    <w:rsid w:val="004F33D4"/>
    <w:rsid w:val="004F7AEC"/>
    <w:rsid w:val="00501F0C"/>
    <w:rsid w:val="00505F39"/>
    <w:rsid w:val="00507A14"/>
    <w:rsid w:val="0051228A"/>
    <w:rsid w:val="005166A2"/>
    <w:rsid w:val="005166D9"/>
    <w:rsid w:val="005166EE"/>
    <w:rsid w:val="00516F35"/>
    <w:rsid w:val="00517733"/>
    <w:rsid w:val="0052315D"/>
    <w:rsid w:val="00524C0B"/>
    <w:rsid w:val="00526F85"/>
    <w:rsid w:val="005301AA"/>
    <w:rsid w:val="00530E03"/>
    <w:rsid w:val="00532E7D"/>
    <w:rsid w:val="00532FD4"/>
    <w:rsid w:val="005354A7"/>
    <w:rsid w:val="00535C2C"/>
    <w:rsid w:val="0053678D"/>
    <w:rsid w:val="005378E3"/>
    <w:rsid w:val="005403B9"/>
    <w:rsid w:val="00540FB1"/>
    <w:rsid w:val="00543873"/>
    <w:rsid w:val="0054582F"/>
    <w:rsid w:val="005465B1"/>
    <w:rsid w:val="005504AE"/>
    <w:rsid w:val="005510E0"/>
    <w:rsid w:val="005572C6"/>
    <w:rsid w:val="005623DA"/>
    <w:rsid w:val="005652FB"/>
    <w:rsid w:val="00567FC3"/>
    <w:rsid w:val="00574DDE"/>
    <w:rsid w:val="005770B7"/>
    <w:rsid w:val="0057711E"/>
    <w:rsid w:val="005801CB"/>
    <w:rsid w:val="00580DCB"/>
    <w:rsid w:val="005819DF"/>
    <w:rsid w:val="00587635"/>
    <w:rsid w:val="005923B4"/>
    <w:rsid w:val="00593FB0"/>
    <w:rsid w:val="005A228A"/>
    <w:rsid w:val="005B2319"/>
    <w:rsid w:val="005B4AEA"/>
    <w:rsid w:val="005B5489"/>
    <w:rsid w:val="005B77B5"/>
    <w:rsid w:val="005C3E54"/>
    <w:rsid w:val="005C77A6"/>
    <w:rsid w:val="005C7855"/>
    <w:rsid w:val="005C7B55"/>
    <w:rsid w:val="005D003D"/>
    <w:rsid w:val="005D2075"/>
    <w:rsid w:val="005D4D11"/>
    <w:rsid w:val="005E189C"/>
    <w:rsid w:val="005E370E"/>
    <w:rsid w:val="005E4D35"/>
    <w:rsid w:val="005E7CCC"/>
    <w:rsid w:val="005F2269"/>
    <w:rsid w:val="005F3E66"/>
    <w:rsid w:val="005F5958"/>
    <w:rsid w:val="005F6649"/>
    <w:rsid w:val="005F726A"/>
    <w:rsid w:val="006015B7"/>
    <w:rsid w:val="00601968"/>
    <w:rsid w:val="00602D40"/>
    <w:rsid w:val="00602F2D"/>
    <w:rsid w:val="006030C9"/>
    <w:rsid w:val="0060513F"/>
    <w:rsid w:val="0060566C"/>
    <w:rsid w:val="0060773B"/>
    <w:rsid w:val="00614FAE"/>
    <w:rsid w:val="00615243"/>
    <w:rsid w:val="00620C7A"/>
    <w:rsid w:val="006252F7"/>
    <w:rsid w:val="006264B7"/>
    <w:rsid w:val="006326FB"/>
    <w:rsid w:val="00633120"/>
    <w:rsid w:val="00637070"/>
    <w:rsid w:val="006443AF"/>
    <w:rsid w:val="0064723E"/>
    <w:rsid w:val="006507B8"/>
    <w:rsid w:val="00651201"/>
    <w:rsid w:val="00652C9B"/>
    <w:rsid w:val="00655B97"/>
    <w:rsid w:val="0066318F"/>
    <w:rsid w:val="00663283"/>
    <w:rsid w:val="00664A53"/>
    <w:rsid w:val="00665A2B"/>
    <w:rsid w:val="0067070D"/>
    <w:rsid w:val="00670BF5"/>
    <w:rsid w:val="0067296D"/>
    <w:rsid w:val="00672AC9"/>
    <w:rsid w:val="006739C3"/>
    <w:rsid w:val="006775BE"/>
    <w:rsid w:val="00677BD5"/>
    <w:rsid w:val="00680F11"/>
    <w:rsid w:val="006829C1"/>
    <w:rsid w:val="00682D11"/>
    <w:rsid w:val="00687645"/>
    <w:rsid w:val="00690555"/>
    <w:rsid w:val="006906E8"/>
    <w:rsid w:val="00695AB0"/>
    <w:rsid w:val="006A0032"/>
    <w:rsid w:val="006A066F"/>
    <w:rsid w:val="006A37E5"/>
    <w:rsid w:val="006A3D44"/>
    <w:rsid w:val="006A5964"/>
    <w:rsid w:val="006A5C9F"/>
    <w:rsid w:val="006A622B"/>
    <w:rsid w:val="006A691F"/>
    <w:rsid w:val="006B00E7"/>
    <w:rsid w:val="006B39B0"/>
    <w:rsid w:val="006B6C21"/>
    <w:rsid w:val="006B6C3B"/>
    <w:rsid w:val="006B785C"/>
    <w:rsid w:val="006B7C16"/>
    <w:rsid w:val="006C0F61"/>
    <w:rsid w:val="006C1B05"/>
    <w:rsid w:val="006C2F80"/>
    <w:rsid w:val="006D39F3"/>
    <w:rsid w:val="006D6967"/>
    <w:rsid w:val="006D7263"/>
    <w:rsid w:val="006D7AD8"/>
    <w:rsid w:val="006E12A4"/>
    <w:rsid w:val="006E1404"/>
    <w:rsid w:val="006E164A"/>
    <w:rsid w:val="006E47AB"/>
    <w:rsid w:val="006E4B90"/>
    <w:rsid w:val="006F2540"/>
    <w:rsid w:val="006F3C73"/>
    <w:rsid w:val="006F4DE0"/>
    <w:rsid w:val="006F7F72"/>
    <w:rsid w:val="00702A67"/>
    <w:rsid w:val="00705107"/>
    <w:rsid w:val="00706006"/>
    <w:rsid w:val="00706682"/>
    <w:rsid w:val="00706846"/>
    <w:rsid w:val="00710BA3"/>
    <w:rsid w:val="0071205B"/>
    <w:rsid w:val="007124F2"/>
    <w:rsid w:val="007136B2"/>
    <w:rsid w:val="00717334"/>
    <w:rsid w:val="00722090"/>
    <w:rsid w:val="00723704"/>
    <w:rsid w:val="00726DF2"/>
    <w:rsid w:val="00727026"/>
    <w:rsid w:val="00727EC4"/>
    <w:rsid w:val="007317B7"/>
    <w:rsid w:val="007343DF"/>
    <w:rsid w:val="00735E32"/>
    <w:rsid w:val="00740ABB"/>
    <w:rsid w:val="007416E2"/>
    <w:rsid w:val="00741E8B"/>
    <w:rsid w:val="00742259"/>
    <w:rsid w:val="007426A3"/>
    <w:rsid w:val="00743AC8"/>
    <w:rsid w:val="007442D9"/>
    <w:rsid w:val="007447C7"/>
    <w:rsid w:val="00745BEF"/>
    <w:rsid w:val="007523F6"/>
    <w:rsid w:val="0075324D"/>
    <w:rsid w:val="007532BE"/>
    <w:rsid w:val="0075516B"/>
    <w:rsid w:val="00760F6E"/>
    <w:rsid w:val="007619C1"/>
    <w:rsid w:val="007620DF"/>
    <w:rsid w:val="00762D21"/>
    <w:rsid w:val="00764354"/>
    <w:rsid w:val="00765683"/>
    <w:rsid w:val="0076578B"/>
    <w:rsid w:val="00765832"/>
    <w:rsid w:val="007703E2"/>
    <w:rsid w:val="00770E68"/>
    <w:rsid w:val="00773731"/>
    <w:rsid w:val="00775B39"/>
    <w:rsid w:val="007817C5"/>
    <w:rsid w:val="007818E3"/>
    <w:rsid w:val="007843BB"/>
    <w:rsid w:val="007867DF"/>
    <w:rsid w:val="00792913"/>
    <w:rsid w:val="0079300C"/>
    <w:rsid w:val="00794587"/>
    <w:rsid w:val="007951F4"/>
    <w:rsid w:val="00795217"/>
    <w:rsid w:val="00796628"/>
    <w:rsid w:val="007A19BD"/>
    <w:rsid w:val="007A32A5"/>
    <w:rsid w:val="007A4BB2"/>
    <w:rsid w:val="007A5B14"/>
    <w:rsid w:val="007A694B"/>
    <w:rsid w:val="007A7094"/>
    <w:rsid w:val="007B05CB"/>
    <w:rsid w:val="007B2535"/>
    <w:rsid w:val="007B259B"/>
    <w:rsid w:val="007B30D5"/>
    <w:rsid w:val="007C23F2"/>
    <w:rsid w:val="007C4B4C"/>
    <w:rsid w:val="007C4E8B"/>
    <w:rsid w:val="007C7934"/>
    <w:rsid w:val="007D398E"/>
    <w:rsid w:val="007D4228"/>
    <w:rsid w:val="007D444A"/>
    <w:rsid w:val="007D506A"/>
    <w:rsid w:val="007D79A2"/>
    <w:rsid w:val="007E32C1"/>
    <w:rsid w:val="007E45C6"/>
    <w:rsid w:val="007E4B1B"/>
    <w:rsid w:val="007E6722"/>
    <w:rsid w:val="007F3951"/>
    <w:rsid w:val="007F3C8B"/>
    <w:rsid w:val="007F4537"/>
    <w:rsid w:val="007F46BD"/>
    <w:rsid w:val="007F5C58"/>
    <w:rsid w:val="008002B1"/>
    <w:rsid w:val="0080335D"/>
    <w:rsid w:val="0080364C"/>
    <w:rsid w:val="0080393F"/>
    <w:rsid w:val="008045EF"/>
    <w:rsid w:val="00807CC0"/>
    <w:rsid w:val="0081145B"/>
    <w:rsid w:val="00812D1B"/>
    <w:rsid w:val="00812E5C"/>
    <w:rsid w:val="0081463E"/>
    <w:rsid w:val="00814752"/>
    <w:rsid w:val="008155FF"/>
    <w:rsid w:val="00816157"/>
    <w:rsid w:val="008164CD"/>
    <w:rsid w:val="008165AC"/>
    <w:rsid w:val="00817D1E"/>
    <w:rsid w:val="00821260"/>
    <w:rsid w:val="00822193"/>
    <w:rsid w:val="00824B91"/>
    <w:rsid w:val="00824EDB"/>
    <w:rsid w:val="00825DFE"/>
    <w:rsid w:val="008333A1"/>
    <w:rsid w:val="00833D10"/>
    <w:rsid w:val="00834009"/>
    <w:rsid w:val="0083492A"/>
    <w:rsid w:val="00835160"/>
    <w:rsid w:val="00836663"/>
    <w:rsid w:val="00842FBF"/>
    <w:rsid w:val="0084336F"/>
    <w:rsid w:val="008438A2"/>
    <w:rsid w:val="008440D7"/>
    <w:rsid w:val="00845D7E"/>
    <w:rsid w:val="00846AD1"/>
    <w:rsid w:val="008511FC"/>
    <w:rsid w:val="00852D91"/>
    <w:rsid w:val="008565E8"/>
    <w:rsid w:val="00866F3E"/>
    <w:rsid w:val="00867079"/>
    <w:rsid w:val="00867C09"/>
    <w:rsid w:val="00873838"/>
    <w:rsid w:val="00875E5D"/>
    <w:rsid w:val="00880339"/>
    <w:rsid w:val="00880F24"/>
    <w:rsid w:val="00881250"/>
    <w:rsid w:val="00882FF3"/>
    <w:rsid w:val="00886579"/>
    <w:rsid w:val="0089012E"/>
    <w:rsid w:val="0089160B"/>
    <w:rsid w:val="00897ADA"/>
    <w:rsid w:val="008A4707"/>
    <w:rsid w:val="008A517E"/>
    <w:rsid w:val="008A52A6"/>
    <w:rsid w:val="008A58D2"/>
    <w:rsid w:val="008C0DD3"/>
    <w:rsid w:val="008C4146"/>
    <w:rsid w:val="008C779A"/>
    <w:rsid w:val="008D23E4"/>
    <w:rsid w:val="008D611D"/>
    <w:rsid w:val="008E201C"/>
    <w:rsid w:val="008E5917"/>
    <w:rsid w:val="008F04E0"/>
    <w:rsid w:val="008F66AF"/>
    <w:rsid w:val="00906AA8"/>
    <w:rsid w:val="00910EE9"/>
    <w:rsid w:val="009250CD"/>
    <w:rsid w:val="0092719F"/>
    <w:rsid w:val="00927F62"/>
    <w:rsid w:val="00931B6A"/>
    <w:rsid w:val="009327E4"/>
    <w:rsid w:val="00932B99"/>
    <w:rsid w:val="00932C2C"/>
    <w:rsid w:val="009336AC"/>
    <w:rsid w:val="00936315"/>
    <w:rsid w:val="009376AB"/>
    <w:rsid w:val="009378C6"/>
    <w:rsid w:val="00945359"/>
    <w:rsid w:val="009460B7"/>
    <w:rsid w:val="0095053F"/>
    <w:rsid w:val="009524E1"/>
    <w:rsid w:val="00954183"/>
    <w:rsid w:val="00954960"/>
    <w:rsid w:val="009567A0"/>
    <w:rsid w:val="00956DF8"/>
    <w:rsid w:val="00961B18"/>
    <w:rsid w:val="00964EE0"/>
    <w:rsid w:val="00965199"/>
    <w:rsid w:val="00966858"/>
    <w:rsid w:val="00972434"/>
    <w:rsid w:val="009741D2"/>
    <w:rsid w:val="009741F9"/>
    <w:rsid w:val="009752D6"/>
    <w:rsid w:val="0097532A"/>
    <w:rsid w:val="0097738A"/>
    <w:rsid w:val="00977977"/>
    <w:rsid w:val="009819D9"/>
    <w:rsid w:val="009822BC"/>
    <w:rsid w:val="00987A4F"/>
    <w:rsid w:val="00991475"/>
    <w:rsid w:val="00991591"/>
    <w:rsid w:val="0099706A"/>
    <w:rsid w:val="00997541"/>
    <w:rsid w:val="009A15FF"/>
    <w:rsid w:val="009A2340"/>
    <w:rsid w:val="009A3922"/>
    <w:rsid w:val="009A66D4"/>
    <w:rsid w:val="009B306D"/>
    <w:rsid w:val="009B4FAD"/>
    <w:rsid w:val="009C10B8"/>
    <w:rsid w:val="009C4470"/>
    <w:rsid w:val="009C49D4"/>
    <w:rsid w:val="009C58E4"/>
    <w:rsid w:val="009C5BB6"/>
    <w:rsid w:val="009C6BFA"/>
    <w:rsid w:val="009D02A5"/>
    <w:rsid w:val="009D1284"/>
    <w:rsid w:val="009D16E8"/>
    <w:rsid w:val="009D6E3C"/>
    <w:rsid w:val="009D70AE"/>
    <w:rsid w:val="009D7CF1"/>
    <w:rsid w:val="009E0841"/>
    <w:rsid w:val="009E1182"/>
    <w:rsid w:val="009E2298"/>
    <w:rsid w:val="009E2315"/>
    <w:rsid w:val="009E6082"/>
    <w:rsid w:val="009E719D"/>
    <w:rsid w:val="009F6A8F"/>
    <w:rsid w:val="00A0046E"/>
    <w:rsid w:val="00A0344A"/>
    <w:rsid w:val="00A04F9B"/>
    <w:rsid w:val="00A05E8F"/>
    <w:rsid w:val="00A0675C"/>
    <w:rsid w:val="00A07381"/>
    <w:rsid w:val="00A07BD3"/>
    <w:rsid w:val="00A101F5"/>
    <w:rsid w:val="00A13B92"/>
    <w:rsid w:val="00A14541"/>
    <w:rsid w:val="00A16336"/>
    <w:rsid w:val="00A234E7"/>
    <w:rsid w:val="00A23D1D"/>
    <w:rsid w:val="00A263DF"/>
    <w:rsid w:val="00A314BE"/>
    <w:rsid w:val="00A32E8A"/>
    <w:rsid w:val="00A3339E"/>
    <w:rsid w:val="00A3633D"/>
    <w:rsid w:val="00A4374B"/>
    <w:rsid w:val="00A4521B"/>
    <w:rsid w:val="00A455BA"/>
    <w:rsid w:val="00A45CAD"/>
    <w:rsid w:val="00A50924"/>
    <w:rsid w:val="00A51388"/>
    <w:rsid w:val="00A51C18"/>
    <w:rsid w:val="00A528D3"/>
    <w:rsid w:val="00A5691A"/>
    <w:rsid w:val="00A576ED"/>
    <w:rsid w:val="00A606FB"/>
    <w:rsid w:val="00A610DF"/>
    <w:rsid w:val="00A6325F"/>
    <w:rsid w:val="00A6457A"/>
    <w:rsid w:val="00A64D1F"/>
    <w:rsid w:val="00A666AF"/>
    <w:rsid w:val="00A667EF"/>
    <w:rsid w:val="00A66B1A"/>
    <w:rsid w:val="00A672C5"/>
    <w:rsid w:val="00A67F3D"/>
    <w:rsid w:val="00A70A74"/>
    <w:rsid w:val="00A714E6"/>
    <w:rsid w:val="00A71625"/>
    <w:rsid w:val="00A81422"/>
    <w:rsid w:val="00A837E8"/>
    <w:rsid w:val="00A92C4F"/>
    <w:rsid w:val="00A94CCF"/>
    <w:rsid w:val="00A9727C"/>
    <w:rsid w:val="00AA36D6"/>
    <w:rsid w:val="00AA668C"/>
    <w:rsid w:val="00AA7B75"/>
    <w:rsid w:val="00AB2099"/>
    <w:rsid w:val="00AB3F8D"/>
    <w:rsid w:val="00AB51E6"/>
    <w:rsid w:val="00AB67A3"/>
    <w:rsid w:val="00AB68D1"/>
    <w:rsid w:val="00AB690B"/>
    <w:rsid w:val="00AB7285"/>
    <w:rsid w:val="00AC4F72"/>
    <w:rsid w:val="00AC5C31"/>
    <w:rsid w:val="00AC6867"/>
    <w:rsid w:val="00AC6F02"/>
    <w:rsid w:val="00AC7CAB"/>
    <w:rsid w:val="00AD5BBD"/>
    <w:rsid w:val="00AE4DDF"/>
    <w:rsid w:val="00AE57D7"/>
    <w:rsid w:val="00AF1FD9"/>
    <w:rsid w:val="00AF7C1A"/>
    <w:rsid w:val="00B04F1E"/>
    <w:rsid w:val="00B0519E"/>
    <w:rsid w:val="00B10623"/>
    <w:rsid w:val="00B11D93"/>
    <w:rsid w:val="00B12F28"/>
    <w:rsid w:val="00B134D1"/>
    <w:rsid w:val="00B1408B"/>
    <w:rsid w:val="00B24944"/>
    <w:rsid w:val="00B25854"/>
    <w:rsid w:val="00B302BF"/>
    <w:rsid w:val="00B302EF"/>
    <w:rsid w:val="00B31812"/>
    <w:rsid w:val="00B32EA1"/>
    <w:rsid w:val="00B32F6B"/>
    <w:rsid w:val="00B37C03"/>
    <w:rsid w:val="00B40DB5"/>
    <w:rsid w:val="00B41C70"/>
    <w:rsid w:val="00B42C4E"/>
    <w:rsid w:val="00B45BF6"/>
    <w:rsid w:val="00B45EFA"/>
    <w:rsid w:val="00B472B8"/>
    <w:rsid w:val="00B47DE9"/>
    <w:rsid w:val="00B51983"/>
    <w:rsid w:val="00B53AA5"/>
    <w:rsid w:val="00B56D5B"/>
    <w:rsid w:val="00B622FF"/>
    <w:rsid w:val="00B627AB"/>
    <w:rsid w:val="00B6306B"/>
    <w:rsid w:val="00B63EF8"/>
    <w:rsid w:val="00B663C5"/>
    <w:rsid w:val="00B70416"/>
    <w:rsid w:val="00B71E27"/>
    <w:rsid w:val="00B76759"/>
    <w:rsid w:val="00B76D85"/>
    <w:rsid w:val="00B770B3"/>
    <w:rsid w:val="00B773FF"/>
    <w:rsid w:val="00B8016C"/>
    <w:rsid w:val="00B802D6"/>
    <w:rsid w:val="00B85C03"/>
    <w:rsid w:val="00B85E4F"/>
    <w:rsid w:val="00B91926"/>
    <w:rsid w:val="00B921F6"/>
    <w:rsid w:val="00B96683"/>
    <w:rsid w:val="00B96908"/>
    <w:rsid w:val="00BA3AA4"/>
    <w:rsid w:val="00BA3EFF"/>
    <w:rsid w:val="00BB11A7"/>
    <w:rsid w:val="00BB264B"/>
    <w:rsid w:val="00BB45E5"/>
    <w:rsid w:val="00BB49FA"/>
    <w:rsid w:val="00BB611B"/>
    <w:rsid w:val="00BC5AC0"/>
    <w:rsid w:val="00BC72D7"/>
    <w:rsid w:val="00BC7ED7"/>
    <w:rsid w:val="00BD0BFA"/>
    <w:rsid w:val="00BF1C0E"/>
    <w:rsid w:val="00BF2BD8"/>
    <w:rsid w:val="00BF2CE0"/>
    <w:rsid w:val="00BF2FB6"/>
    <w:rsid w:val="00BF3075"/>
    <w:rsid w:val="00C00EA7"/>
    <w:rsid w:val="00C018F9"/>
    <w:rsid w:val="00C03745"/>
    <w:rsid w:val="00C05BEB"/>
    <w:rsid w:val="00C062F0"/>
    <w:rsid w:val="00C064F1"/>
    <w:rsid w:val="00C067F3"/>
    <w:rsid w:val="00C06CE5"/>
    <w:rsid w:val="00C123F9"/>
    <w:rsid w:val="00C12F7B"/>
    <w:rsid w:val="00C1384B"/>
    <w:rsid w:val="00C15B37"/>
    <w:rsid w:val="00C16AE6"/>
    <w:rsid w:val="00C200F1"/>
    <w:rsid w:val="00C251D7"/>
    <w:rsid w:val="00C26884"/>
    <w:rsid w:val="00C30BBE"/>
    <w:rsid w:val="00C3136B"/>
    <w:rsid w:val="00C34B4D"/>
    <w:rsid w:val="00C34D84"/>
    <w:rsid w:val="00C35865"/>
    <w:rsid w:val="00C36752"/>
    <w:rsid w:val="00C412F1"/>
    <w:rsid w:val="00C459B1"/>
    <w:rsid w:val="00C471A4"/>
    <w:rsid w:val="00C471E6"/>
    <w:rsid w:val="00C53C40"/>
    <w:rsid w:val="00C64849"/>
    <w:rsid w:val="00C6700B"/>
    <w:rsid w:val="00C7116A"/>
    <w:rsid w:val="00C735CA"/>
    <w:rsid w:val="00C74BCE"/>
    <w:rsid w:val="00C7512A"/>
    <w:rsid w:val="00C76AA2"/>
    <w:rsid w:val="00C77BA1"/>
    <w:rsid w:val="00C82F07"/>
    <w:rsid w:val="00C84E55"/>
    <w:rsid w:val="00C90D9D"/>
    <w:rsid w:val="00C912C7"/>
    <w:rsid w:val="00C94032"/>
    <w:rsid w:val="00C951D2"/>
    <w:rsid w:val="00CA6AE7"/>
    <w:rsid w:val="00CA6DD8"/>
    <w:rsid w:val="00CA70E7"/>
    <w:rsid w:val="00CB0245"/>
    <w:rsid w:val="00CB162F"/>
    <w:rsid w:val="00CB19B3"/>
    <w:rsid w:val="00CB1F62"/>
    <w:rsid w:val="00CB3372"/>
    <w:rsid w:val="00CB4FB2"/>
    <w:rsid w:val="00CC11E4"/>
    <w:rsid w:val="00CC2361"/>
    <w:rsid w:val="00CC2E41"/>
    <w:rsid w:val="00CC379D"/>
    <w:rsid w:val="00CC56B2"/>
    <w:rsid w:val="00CC5B76"/>
    <w:rsid w:val="00CC64FE"/>
    <w:rsid w:val="00CC6BFD"/>
    <w:rsid w:val="00CC719F"/>
    <w:rsid w:val="00CD0038"/>
    <w:rsid w:val="00CD0198"/>
    <w:rsid w:val="00CD6DBE"/>
    <w:rsid w:val="00CD7DB2"/>
    <w:rsid w:val="00CE069C"/>
    <w:rsid w:val="00CE3286"/>
    <w:rsid w:val="00CE5B54"/>
    <w:rsid w:val="00CE5E38"/>
    <w:rsid w:val="00CE7AD7"/>
    <w:rsid w:val="00CE7F54"/>
    <w:rsid w:val="00CF1153"/>
    <w:rsid w:val="00CF16B0"/>
    <w:rsid w:val="00CF2062"/>
    <w:rsid w:val="00CF4244"/>
    <w:rsid w:val="00CF5613"/>
    <w:rsid w:val="00CF7524"/>
    <w:rsid w:val="00CF7D39"/>
    <w:rsid w:val="00D0107D"/>
    <w:rsid w:val="00D010E4"/>
    <w:rsid w:val="00D0302D"/>
    <w:rsid w:val="00D03F00"/>
    <w:rsid w:val="00D066CF"/>
    <w:rsid w:val="00D12169"/>
    <w:rsid w:val="00D14A23"/>
    <w:rsid w:val="00D21B08"/>
    <w:rsid w:val="00D21DF5"/>
    <w:rsid w:val="00D21F07"/>
    <w:rsid w:val="00D27372"/>
    <w:rsid w:val="00D321F9"/>
    <w:rsid w:val="00D34F24"/>
    <w:rsid w:val="00D40CB3"/>
    <w:rsid w:val="00D41EED"/>
    <w:rsid w:val="00D4396D"/>
    <w:rsid w:val="00D44F63"/>
    <w:rsid w:val="00D47851"/>
    <w:rsid w:val="00D51CB0"/>
    <w:rsid w:val="00D52F64"/>
    <w:rsid w:val="00D53525"/>
    <w:rsid w:val="00D558C1"/>
    <w:rsid w:val="00D56447"/>
    <w:rsid w:val="00D56833"/>
    <w:rsid w:val="00D56F84"/>
    <w:rsid w:val="00D608A1"/>
    <w:rsid w:val="00D61346"/>
    <w:rsid w:val="00D637A5"/>
    <w:rsid w:val="00D6418D"/>
    <w:rsid w:val="00D6593D"/>
    <w:rsid w:val="00D65C50"/>
    <w:rsid w:val="00D664F1"/>
    <w:rsid w:val="00D760A8"/>
    <w:rsid w:val="00D804FD"/>
    <w:rsid w:val="00D818CC"/>
    <w:rsid w:val="00D82899"/>
    <w:rsid w:val="00D8716E"/>
    <w:rsid w:val="00D91564"/>
    <w:rsid w:val="00D91FFB"/>
    <w:rsid w:val="00D94E2E"/>
    <w:rsid w:val="00D971F9"/>
    <w:rsid w:val="00DA0AAF"/>
    <w:rsid w:val="00DA15D6"/>
    <w:rsid w:val="00DA6A67"/>
    <w:rsid w:val="00DB2318"/>
    <w:rsid w:val="00DB69B4"/>
    <w:rsid w:val="00DC0848"/>
    <w:rsid w:val="00DC0F01"/>
    <w:rsid w:val="00DC13BB"/>
    <w:rsid w:val="00DC474A"/>
    <w:rsid w:val="00DC56E7"/>
    <w:rsid w:val="00DD00EC"/>
    <w:rsid w:val="00DD1B6E"/>
    <w:rsid w:val="00DD481E"/>
    <w:rsid w:val="00DD4D4C"/>
    <w:rsid w:val="00DD6271"/>
    <w:rsid w:val="00DE1FCF"/>
    <w:rsid w:val="00DE3766"/>
    <w:rsid w:val="00DE3F1B"/>
    <w:rsid w:val="00DE4072"/>
    <w:rsid w:val="00DE7AD1"/>
    <w:rsid w:val="00DF05F4"/>
    <w:rsid w:val="00DF14D1"/>
    <w:rsid w:val="00DF27D1"/>
    <w:rsid w:val="00DF3B27"/>
    <w:rsid w:val="00E00C4F"/>
    <w:rsid w:val="00E036D9"/>
    <w:rsid w:val="00E060C2"/>
    <w:rsid w:val="00E10A4F"/>
    <w:rsid w:val="00E12D14"/>
    <w:rsid w:val="00E16A65"/>
    <w:rsid w:val="00E17599"/>
    <w:rsid w:val="00E17745"/>
    <w:rsid w:val="00E21692"/>
    <w:rsid w:val="00E24FD9"/>
    <w:rsid w:val="00E257A7"/>
    <w:rsid w:val="00E34383"/>
    <w:rsid w:val="00E34D12"/>
    <w:rsid w:val="00E36586"/>
    <w:rsid w:val="00E40A2E"/>
    <w:rsid w:val="00E41AF1"/>
    <w:rsid w:val="00E42BCB"/>
    <w:rsid w:val="00E439E8"/>
    <w:rsid w:val="00E454BB"/>
    <w:rsid w:val="00E50EF0"/>
    <w:rsid w:val="00E51866"/>
    <w:rsid w:val="00E51B23"/>
    <w:rsid w:val="00E52634"/>
    <w:rsid w:val="00E57281"/>
    <w:rsid w:val="00E600FC"/>
    <w:rsid w:val="00E6075B"/>
    <w:rsid w:val="00E60A35"/>
    <w:rsid w:val="00E60FA7"/>
    <w:rsid w:val="00E62E5F"/>
    <w:rsid w:val="00E63CB9"/>
    <w:rsid w:val="00E67DCE"/>
    <w:rsid w:val="00E71463"/>
    <w:rsid w:val="00E7175B"/>
    <w:rsid w:val="00E72B81"/>
    <w:rsid w:val="00E74CA9"/>
    <w:rsid w:val="00E7666C"/>
    <w:rsid w:val="00E77F44"/>
    <w:rsid w:val="00E809B9"/>
    <w:rsid w:val="00E829A5"/>
    <w:rsid w:val="00E853F9"/>
    <w:rsid w:val="00E86B2F"/>
    <w:rsid w:val="00E90399"/>
    <w:rsid w:val="00E91095"/>
    <w:rsid w:val="00E92498"/>
    <w:rsid w:val="00E952F0"/>
    <w:rsid w:val="00E95B23"/>
    <w:rsid w:val="00E95C76"/>
    <w:rsid w:val="00E961B5"/>
    <w:rsid w:val="00E96D7C"/>
    <w:rsid w:val="00EA1C94"/>
    <w:rsid w:val="00EB20CE"/>
    <w:rsid w:val="00EB47CA"/>
    <w:rsid w:val="00EB4B0D"/>
    <w:rsid w:val="00EB5482"/>
    <w:rsid w:val="00EB7AE0"/>
    <w:rsid w:val="00EB7BE3"/>
    <w:rsid w:val="00EC29CD"/>
    <w:rsid w:val="00EC3610"/>
    <w:rsid w:val="00EC5066"/>
    <w:rsid w:val="00EC5F8B"/>
    <w:rsid w:val="00ED1B15"/>
    <w:rsid w:val="00ED1F57"/>
    <w:rsid w:val="00ED2526"/>
    <w:rsid w:val="00ED2705"/>
    <w:rsid w:val="00ED2EF6"/>
    <w:rsid w:val="00ED656B"/>
    <w:rsid w:val="00ED7972"/>
    <w:rsid w:val="00EE135A"/>
    <w:rsid w:val="00EE1F21"/>
    <w:rsid w:val="00EE3F4F"/>
    <w:rsid w:val="00EE5DFE"/>
    <w:rsid w:val="00EE70EA"/>
    <w:rsid w:val="00EE77F6"/>
    <w:rsid w:val="00EF1E29"/>
    <w:rsid w:val="00EF3F28"/>
    <w:rsid w:val="00EF64BE"/>
    <w:rsid w:val="00EF6819"/>
    <w:rsid w:val="00F03E30"/>
    <w:rsid w:val="00F04E29"/>
    <w:rsid w:val="00F05227"/>
    <w:rsid w:val="00F0633B"/>
    <w:rsid w:val="00F06E2E"/>
    <w:rsid w:val="00F06FAB"/>
    <w:rsid w:val="00F13B97"/>
    <w:rsid w:val="00F155B1"/>
    <w:rsid w:val="00F15845"/>
    <w:rsid w:val="00F16538"/>
    <w:rsid w:val="00F16A89"/>
    <w:rsid w:val="00F23530"/>
    <w:rsid w:val="00F236F9"/>
    <w:rsid w:val="00F2371C"/>
    <w:rsid w:val="00F23D15"/>
    <w:rsid w:val="00F24379"/>
    <w:rsid w:val="00F2795A"/>
    <w:rsid w:val="00F3300C"/>
    <w:rsid w:val="00F43CDA"/>
    <w:rsid w:val="00F450E6"/>
    <w:rsid w:val="00F450EC"/>
    <w:rsid w:val="00F45BFB"/>
    <w:rsid w:val="00F515D5"/>
    <w:rsid w:val="00F53232"/>
    <w:rsid w:val="00F560C8"/>
    <w:rsid w:val="00F56224"/>
    <w:rsid w:val="00F57AD0"/>
    <w:rsid w:val="00F600D6"/>
    <w:rsid w:val="00F6295C"/>
    <w:rsid w:val="00F63C88"/>
    <w:rsid w:val="00F722F8"/>
    <w:rsid w:val="00F72B5F"/>
    <w:rsid w:val="00F742C2"/>
    <w:rsid w:val="00F7505D"/>
    <w:rsid w:val="00F76308"/>
    <w:rsid w:val="00F76D33"/>
    <w:rsid w:val="00F80DF9"/>
    <w:rsid w:val="00F817AC"/>
    <w:rsid w:val="00F95A1E"/>
    <w:rsid w:val="00FA1DDF"/>
    <w:rsid w:val="00FA2BB2"/>
    <w:rsid w:val="00FA2FE4"/>
    <w:rsid w:val="00FA46A6"/>
    <w:rsid w:val="00FB1CEB"/>
    <w:rsid w:val="00FB5D4A"/>
    <w:rsid w:val="00FC05A7"/>
    <w:rsid w:val="00FC2BC7"/>
    <w:rsid w:val="00FC3BE9"/>
    <w:rsid w:val="00FD353A"/>
    <w:rsid w:val="00FD3587"/>
    <w:rsid w:val="00FE10C9"/>
    <w:rsid w:val="00FE511D"/>
    <w:rsid w:val="00FF1B5E"/>
    <w:rsid w:val="00FF2BA2"/>
    <w:rsid w:val="00FF362D"/>
    <w:rsid w:val="00FF39A3"/>
    <w:rsid w:val="00FF3E49"/>
    <w:rsid w:val="00FF3E6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9FE48339-2615-4B7D-A93C-714DA828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E55"/>
    <w:pPr>
      <w:bidi/>
    </w:pPr>
    <w:rPr>
      <w:sz w:val="24"/>
      <w:szCs w:val="24"/>
      <w:lang w:eastAsia="he-IL"/>
    </w:rPr>
  </w:style>
  <w:style w:type="paragraph" w:styleId="Heading1">
    <w:name w:val="heading 1"/>
    <w:basedOn w:val="Normal"/>
    <w:next w:val="Normal"/>
    <w:qFormat/>
    <w:rsid w:val="0089160B"/>
    <w:pPr>
      <w:keepNext/>
      <w:keepLines/>
      <w:numPr>
        <w:numId w:val="4"/>
      </w:numPr>
      <w:spacing w:before="120" w:after="240" w:line="360" w:lineRule="auto"/>
      <w:ind w:right="360"/>
      <w:jc w:val="both"/>
      <w:outlineLvl w:val="0"/>
    </w:pPr>
    <w:rPr>
      <w:rFonts w:cs="David"/>
      <w:b/>
      <w:bCs/>
      <w:kern w:val="32"/>
      <w:sz w:val="26"/>
      <w:szCs w:val="26"/>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1D09F3"/>
    <w:rPr>
      <w:rFonts w:ascii="Tahoma" w:hAnsi="Tahoma" w:cs="Tahoma"/>
      <w:sz w:val="16"/>
      <w:szCs w:val="16"/>
    </w:rPr>
  </w:style>
  <w:style w:type="paragraph" w:styleId="Header">
    <w:name w:val="header"/>
    <w:basedOn w:val="Normal"/>
    <w:link w:val="HeaderChar"/>
    <w:uiPriority w:val="99"/>
    <w:rsid w:val="00C84E55"/>
    <w:pPr>
      <w:tabs>
        <w:tab w:val="center" w:pos="4153"/>
        <w:tab w:val="right" w:pos="8306"/>
      </w:tabs>
    </w:pPr>
  </w:style>
  <w:style w:type="paragraph" w:styleId="Footer">
    <w:name w:val="footer"/>
    <w:basedOn w:val="Normal"/>
    <w:link w:val="FooterChar"/>
    <w:uiPriority w:val="99"/>
    <w:rsid w:val="00C84E55"/>
    <w:pPr>
      <w:tabs>
        <w:tab w:val="center" w:pos="4153"/>
        <w:tab w:val="right" w:pos="8306"/>
      </w:tabs>
    </w:pPr>
  </w:style>
  <w:style w:type="character" w:styleId="Hyperlink">
    <w:name w:val="Hyperlink"/>
    <w:rsid w:val="009B4FAD"/>
    <w:rPr>
      <w:rFonts w:cs="Times New Roman"/>
      <w:color w:val="0000FF"/>
      <w:u w:val="single"/>
    </w:rPr>
  </w:style>
  <w:style w:type="character" w:styleId="FootnoteReference">
    <w:name w:val="footnote reference"/>
    <w:uiPriority w:val="99"/>
    <w:semiHidden/>
    <w:rsid w:val="0047730C"/>
    <w:rPr>
      <w:rFonts w:ascii="Times New Roman" w:hAnsi="Times New Roman" w:cs="David"/>
      <w:sz w:val="20"/>
      <w:vertAlign w:val="superscript"/>
      <w:lang w:bidi="he-IL"/>
    </w:rPr>
  </w:style>
  <w:style w:type="paragraph" w:styleId="FootnoteText">
    <w:name w:val="footnote text"/>
    <w:basedOn w:val="Normal"/>
    <w:link w:val="FootnoteTextChar"/>
    <w:uiPriority w:val="99"/>
    <w:semiHidden/>
    <w:rsid w:val="0047730C"/>
    <w:pPr>
      <w:widowControl w:val="0"/>
      <w:overflowPunct w:val="0"/>
      <w:autoSpaceDE w:val="0"/>
      <w:autoSpaceDN w:val="0"/>
      <w:bidi w:val="0"/>
      <w:adjustRightInd w:val="0"/>
      <w:spacing w:after="120"/>
      <w:jc w:val="right"/>
    </w:pPr>
    <w:rPr>
      <w:rFonts w:cs="David"/>
      <w:sz w:val="20"/>
      <w:szCs w:val="20"/>
    </w:rPr>
  </w:style>
  <w:style w:type="table" w:styleId="TableGrid">
    <w:name w:val="Table Grid"/>
    <w:basedOn w:val="TableNormal"/>
    <w:rsid w:val="00991591"/>
    <w:pPr>
      <w:bidi/>
      <w:spacing w:before="120" w:line="36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E961B5"/>
    <w:rPr>
      <w:rFonts w:cs="Times New Roman"/>
    </w:rPr>
  </w:style>
  <w:style w:type="character" w:styleId="FollowedHyperlink">
    <w:name w:val="FollowedHyperlink"/>
    <w:rsid w:val="00D21B08"/>
    <w:rPr>
      <w:rFonts w:cs="Times New Roman"/>
      <w:color w:val="auto"/>
      <w:u w:val="single"/>
    </w:rPr>
  </w:style>
  <w:style w:type="paragraph" w:styleId="List">
    <w:name w:val="List"/>
    <w:basedOn w:val="Normal"/>
    <w:rsid w:val="00CF16B0"/>
    <w:pPr>
      <w:ind w:left="283" w:hanging="283"/>
    </w:pPr>
  </w:style>
  <w:style w:type="paragraph" w:styleId="List2">
    <w:name w:val="List 2"/>
    <w:basedOn w:val="Normal"/>
    <w:rsid w:val="00CF16B0"/>
    <w:pPr>
      <w:ind w:left="566" w:hanging="283"/>
    </w:pPr>
  </w:style>
  <w:style w:type="paragraph" w:styleId="List3">
    <w:name w:val="List 3"/>
    <w:basedOn w:val="Normal"/>
    <w:rsid w:val="00CF16B0"/>
    <w:pPr>
      <w:ind w:left="849" w:hanging="283"/>
    </w:pPr>
  </w:style>
  <w:style w:type="paragraph" w:styleId="ListContinue">
    <w:name w:val="List Continue"/>
    <w:basedOn w:val="Normal"/>
    <w:rsid w:val="00CF16B0"/>
    <w:pPr>
      <w:spacing w:after="120"/>
      <w:ind w:left="283"/>
    </w:pPr>
  </w:style>
  <w:style w:type="paragraph" w:styleId="NormalWeb">
    <w:name w:val="Normal (Web)"/>
    <w:basedOn w:val="Normal"/>
    <w:uiPriority w:val="99"/>
    <w:rsid w:val="00493B1F"/>
    <w:pPr>
      <w:bidi w:val="0"/>
      <w:spacing w:before="100" w:beforeAutospacing="1" w:after="100" w:afterAutospacing="1"/>
    </w:pPr>
    <w:rPr>
      <w:color w:val="000000"/>
      <w:lang w:eastAsia="en-US"/>
    </w:rPr>
  </w:style>
  <w:style w:type="character" w:styleId="CommentReference">
    <w:name w:val="annotation reference"/>
    <w:uiPriority w:val="99"/>
    <w:unhideWhenUsed/>
    <w:rsid w:val="006A3D44"/>
    <w:rPr>
      <w:sz w:val="16"/>
      <w:szCs w:val="16"/>
    </w:rPr>
  </w:style>
  <w:style w:type="paragraph" w:styleId="CommentText">
    <w:name w:val="annotation text"/>
    <w:basedOn w:val="Normal"/>
    <w:link w:val="CommentTextChar"/>
    <w:uiPriority w:val="99"/>
    <w:unhideWhenUsed/>
    <w:rsid w:val="006A3D44"/>
    <w:pPr>
      <w:spacing w:after="200"/>
    </w:pPr>
    <w:rPr>
      <w:rFonts w:ascii="Calibri" w:eastAsia="Calibri" w:hAnsi="Calibri" w:cs="David"/>
      <w:sz w:val="20"/>
      <w:szCs w:val="20"/>
      <w:lang w:eastAsia="en-US"/>
    </w:rPr>
  </w:style>
  <w:style w:type="character" w:customStyle="1" w:styleId="CommentTextChar">
    <w:name w:val="Comment Text Char"/>
    <w:link w:val="CommentText"/>
    <w:uiPriority w:val="99"/>
    <w:rsid w:val="006A3D44"/>
    <w:rPr>
      <w:rFonts w:ascii="Calibri" w:eastAsia="Calibri" w:hAnsi="Calibri" w:cs="David"/>
    </w:rPr>
  </w:style>
  <w:style w:type="paragraph" w:styleId="CommentSubject">
    <w:name w:val="annotation subject"/>
    <w:basedOn w:val="CommentText"/>
    <w:next w:val="CommentText"/>
    <w:link w:val="CommentSubjectChar"/>
    <w:rsid w:val="006A3D44"/>
    <w:pPr>
      <w:spacing w:after="0"/>
    </w:pPr>
    <w:rPr>
      <w:rFonts w:ascii="Times New Roman" w:eastAsia="Times New Roman" w:hAnsi="Times New Roman" w:cs="Times New Roman"/>
      <w:b/>
      <w:bCs/>
      <w:lang w:eastAsia="he-IL"/>
    </w:rPr>
  </w:style>
  <w:style w:type="character" w:customStyle="1" w:styleId="CommentSubjectChar">
    <w:name w:val="Comment Subject Char"/>
    <w:link w:val="CommentSubject"/>
    <w:rsid w:val="006A3D44"/>
    <w:rPr>
      <w:rFonts w:ascii="Calibri" w:eastAsia="Calibri" w:hAnsi="Calibri" w:cs="David"/>
      <w:b/>
      <w:bCs/>
      <w:lang w:eastAsia="he-IL"/>
    </w:rPr>
  </w:style>
  <w:style w:type="paragraph" w:styleId="Revision">
    <w:name w:val="Revision"/>
    <w:hidden/>
    <w:uiPriority w:val="99"/>
    <w:semiHidden/>
    <w:rsid w:val="00211E96"/>
    <w:rPr>
      <w:sz w:val="24"/>
      <w:szCs w:val="24"/>
      <w:lang w:eastAsia="he-IL"/>
    </w:rPr>
  </w:style>
  <w:style w:type="paragraph" w:styleId="EndnoteText">
    <w:name w:val="endnote text"/>
    <w:basedOn w:val="Normal"/>
    <w:link w:val="EndnoteTextChar"/>
    <w:rsid w:val="00775B39"/>
    <w:rPr>
      <w:sz w:val="20"/>
      <w:szCs w:val="20"/>
    </w:rPr>
  </w:style>
  <w:style w:type="character" w:customStyle="1" w:styleId="EndnoteTextChar">
    <w:name w:val="Endnote Text Char"/>
    <w:link w:val="EndnoteText"/>
    <w:rsid w:val="00775B39"/>
    <w:rPr>
      <w:lang w:eastAsia="he-IL"/>
    </w:rPr>
  </w:style>
  <w:style w:type="character" w:styleId="EndnoteReference">
    <w:name w:val="endnote reference"/>
    <w:rsid w:val="00775B39"/>
    <w:rPr>
      <w:vertAlign w:val="superscript"/>
    </w:rPr>
  </w:style>
  <w:style w:type="character" w:customStyle="1" w:styleId="FootnoteTextChar">
    <w:name w:val="Footnote Text Char"/>
    <w:link w:val="FootnoteText"/>
    <w:uiPriority w:val="99"/>
    <w:semiHidden/>
    <w:rsid w:val="00316AE6"/>
    <w:rPr>
      <w:rFonts w:cs="David"/>
      <w:lang w:eastAsia="he-IL"/>
    </w:rPr>
  </w:style>
  <w:style w:type="character" w:customStyle="1" w:styleId="HeaderChar">
    <w:name w:val="Header Char"/>
    <w:link w:val="Header"/>
    <w:uiPriority w:val="99"/>
    <w:rsid w:val="00E17599"/>
    <w:rPr>
      <w:sz w:val="24"/>
      <w:szCs w:val="24"/>
      <w:lang w:eastAsia="he-IL"/>
    </w:rPr>
  </w:style>
  <w:style w:type="character" w:customStyle="1" w:styleId="FooterChar">
    <w:name w:val="Footer Char"/>
    <w:link w:val="Footer"/>
    <w:uiPriority w:val="99"/>
    <w:rsid w:val="00E17599"/>
    <w:rPr>
      <w:sz w:val="24"/>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2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666984931">
      <w:bodyDiv w:val="1"/>
      <w:marLeft w:val="120"/>
      <w:marRight w:val="120"/>
      <w:marTop w:val="45"/>
      <w:marBottom w:val="45"/>
      <w:divBdr>
        <w:top w:val="none" w:sz="0" w:space="0" w:color="auto"/>
        <w:left w:val="none" w:sz="0" w:space="0" w:color="auto"/>
        <w:bottom w:val="none" w:sz="0" w:space="0" w:color="auto"/>
        <w:right w:val="none" w:sz="0" w:space="0" w:color="auto"/>
      </w:divBdr>
      <w:divsChild>
        <w:div w:id="942953886">
          <w:marLeft w:val="0"/>
          <w:marRight w:val="0"/>
          <w:marTop w:val="0"/>
          <w:marBottom w:val="0"/>
          <w:divBdr>
            <w:top w:val="none" w:sz="0" w:space="0" w:color="auto"/>
            <w:left w:val="none" w:sz="0" w:space="0" w:color="auto"/>
            <w:bottom w:val="none" w:sz="0" w:space="0" w:color="auto"/>
            <w:right w:val="none" w:sz="0" w:space="0" w:color="auto"/>
          </w:divBdr>
          <w:divsChild>
            <w:div w:id="423113613">
              <w:marLeft w:val="240"/>
              <w:marRight w:val="240"/>
              <w:marTop w:val="0"/>
              <w:marBottom w:val="0"/>
              <w:divBdr>
                <w:top w:val="none" w:sz="0" w:space="0" w:color="auto"/>
                <w:left w:val="none" w:sz="0" w:space="0" w:color="auto"/>
                <w:bottom w:val="none" w:sz="0" w:space="0" w:color="auto"/>
                <w:right w:val="none" w:sz="0" w:space="0" w:color="auto"/>
              </w:divBdr>
              <w:divsChild>
                <w:div w:id="119577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418646">
      <w:bodyDiv w:val="1"/>
      <w:marLeft w:val="0"/>
      <w:marRight w:val="0"/>
      <w:marTop w:val="0"/>
      <w:marBottom w:val="0"/>
      <w:divBdr>
        <w:top w:val="none" w:sz="0" w:space="0" w:color="auto"/>
        <w:left w:val="none" w:sz="0" w:space="0" w:color="auto"/>
        <w:bottom w:val="none" w:sz="0" w:space="0" w:color="auto"/>
        <w:right w:val="none" w:sz="0" w:space="0" w:color="auto"/>
      </w:divBdr>
    </w:div>
    <w:div w:id="1647585232">
      <w:bodyDiv w:val="1"/>
      <w:marLeft w:val="0"/>
      <w:marRight w:val="0"/>
      <w:marTop w:val="0"/>
      <w:marBottom w:val="0"/>
      <w:divBdr>
        <w:top w:val="none" w:sz="0" w:space="0" w:color="auto"/>
        <w:left w:val="none" w:sz="0" w:space="0" w:color="auto"/>
        <w:bottom w:val="none" w:sz="0" w:space="0" w:color="auto"/>
        <w:right w:val="none" w:sz="0" w:space="0" w:color="auto"/>
      </w:divBdr>
    </w:div>
    <w:div w:id="1805736157">
      <w:bodyDiv w:val="1"/>
      <w:marLeft w:val="0"/>
      <w:marRight w:val="0"/>
      <w:marTop w:val="0"/>
      <w:marBottom w:val="0"/>
      <w:divBdr>
        <w:top w:val="none" w:sz="0" w:space="0" w:color="auto"/>
        <w:left w:val="none" w:sz="0" w:space="0" w:color="auto"/>
        <w:bottom w:val="none" w:sz="0" w:space="0" w:color="auto"/>
        <w:right w:val="none" w:sz="0" w:space="0" w:color="auto"/>
      </w:divBdr>
    </w:div>
    <w:div w:id="1833182064">
      <w:bodyDiv w:val="1"/>
      <w:marLeft w:val="0"/>
      <w:marRight w:val="0"/>
      <w:marTop w:val="0"/>
      <w:marBottom w:val="0"/>
      <w:divBdr>
        <w:top w:val="none" w:sz="0" w:space="0" w:color="auto"/>
        <w:left w:val="none" w:sz="0" w:space="0" w:color="auto"/>
        <w:bottom w:val="none" w:sz="0" w:space="0" w:color="auto"/>
        <w:right w:val="none" w:sz="0" w:space="0" w:color="auto"/>
      </w:divBdr>
    </w:div>
    <w:div w:id="2128229028">
      <w:bodyDiv w:val="1"/>
      <w:marLeft w:val="0"/>
      <w:marRight w:val="0"/>
      <w:marTop w:val="0"/>
      <w:marBottom w:val="0"/>
      <w:divBdr>
        <w:top w:val="none" w:sz="0" w:space="0" w:color="auto"/>
        <w:left w:val="none" w:sz="0" w:space="0" w:color="auto"/>
        <w:bottom w:val="none" w:sz="0" w:space="0" w:color="auto"/>
        <w:right w:val="none" w:sz="0" w:space="0" w:color="auto"/>
      </w:divBdr>
      <w:divsChild>
        <w:div w:id="876891757">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www.oecd.org/daf/ca/Corporate-Governance-Principles-ENG.pdf" TargetMode="External"/><Relationship Id="rId2" Type="http://schemas.openxmlformats.org/officeDocument/2006/relationships/hyperlink" Target="http://www.isa.gov.il/Download/IsaFile_45.pdf" TargetMode="External"/><Relationship Id="rId1" Type="http://schemas.openxmlformats.org/officeDocument/2006/relationships/hyperlink" Target="http://www.finance.gov.il/bachar/pdf/bacharFullReport.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96037-6533-4B0F-B949-0DB86515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1750</Words>
  <Characters>8655</Characters>
  <Application>Microsoft Office Word</Application>
  <DocSecurity>0</DocSecurity>
  <Lines>72</Lines>
  <Paragraphs>20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גילוי דעת  :</vt:lpstr>
      <vt:lpstr>גילוי דעת  :</vt:lpstr>
    </vt:vector>
  </TitlesOfParts>
  <Company>Rashut_doamin</Company>
  <LinksUpToDate>false</LinksUpToDate>
  <CharactersWithSpaces>10385</CharactersWithSpaces>
  <SharedDoc>false</SharedDoc>
  <HLinks>
    <vt:vector size="18" baseType="variant">
      <vt:variant>
        <vt:i4>3342378</vt:i4>
      </vt:variant>
      <vt:variant>
        <vt:i4>6</vt:i4>
      </vt:variant>
      <vt:variant>
        <vt:i4>0</vt:i4>
      </vt:variant>
      <vt:variant>
        <vt:i4>5</vt:i4>
      </vt:variant>
      <vt:variant>
        <vt:lpwstr>http://www.oecd.org/daf/ca/Corporate-Governance-Principles-ENG.pdf</vt:lpwstr>
      </vt:variant>
      <vt:variant>
        <vt:lpwstr/>
      </vt:variant>
      <vt:variant>
        <vt:i4>262258</vt:i4>
      </vt:variant>
      <vt:variant>
        <vt:i4>3</vt:i4>
      </vt:variant>
      <vt:variant>
        <vt:i4>0</vt:i4>
      </vt:variant>
      <vt:variant>
        <vt:i4>5</vt:i4>
      </vt:variant>
      <vt:variant>
        <vt:lpwstr>http://www.isa.gov.il/Download/IsaFile_45.pdf</vt:lpwstr>
      </vt:variant>
      <vt:variant>
        <vt:lpwstr/>
      </vt:variant>
      <vt:variant>
        <vt:i4>4325456</vt:i4>
      </vt:variant>
      <vt:variant>
        <vt:i4>0</vt:i4>
      </vt:variant>
      <vt:variant>
        <vt:i4>0</vt:i4>
      </vt:variant>
      <vt:variant>
        <vt:i4>5</vt:i4>
      </vt:variant>
      <vt:variant>
        <vt:lpwstr>http://www.finance.gov.il/bachar/pdf/bacharFullReport.pdf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גילוי דעת  :</dc:title>
  <dc:subject/>
  <dc:creator>Yuval David Hananel</dc:creator>
  <cp:keywords/>
  <cp:lastModifiedBy>Melita Shafir</cp:lastModifiedBy>
  <cp:revision>2</cp:revision>
  <cp:lastPrinted>2019-02-12T15:27:00Z</cp:lastPrinted>
  <dcterms:created xsi:type="dcterms:W3CDTF">2019-12-18T08:41:00Z</dcterms:created>
  <dcterms:modified xsi:type="dcterms:W3CDTF">2019-12-18T08:41:00Z</dcterms:modified>
</cp:coreProperties>
</file>